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6F" w:rsidRPr="00A2146F" w:rsidRDefault="00A2146F">
      <w:pPr>
        <w:pStyle w:val="ConsPlusTitle"/>
        <w:jc w:val="center"/>
        <w:outlineLvl w:val="0"/>
      </w:pPr>
      <w:r w:rsidRPr="00A2146F">
        <w:t>ГОРОДСКАЯ ДУМА ГОРОДА ДЗЕРЖИНСКА</w:t>
      </w:r>
    </w:p>
    <w:p w:rsidR="00A2146F" w:rsidRPr="00A2146F" w:rsidRDefault="00A2146F">
      <w:pPr>
        <w:pStyle w:val="ConsPlusTitle"/>
        <w:jc w:val="center"/>
      </w:pPr>
    </w:p>
    <w:p w:rsidR="00A2146F" w:rsidRPr="00A2146F" w:rsidRDefault="00A2146F">
      <w:pPr>
        <w:pStyle w:val="ConsPlusTitle"/>
        <w:jc w:val="center"/>
      </w:pPr>
      <w:r w:rsidRPr="00A2146F">
        <w:t>ПОСТАНОВЛЕНИЕ</w:t>
      </w:r>
    </w:p>
    <w:p w:rsidR="00A2146F" w:rsidRPr="00A2146F" w:rsidRDefault="00A2146F">
      <w:pPr>
        <w:pStyle w:val="ConsPlusTitle"/>
        <w:jc w:val="center"/>
      </w:pPr>
      <w:r w:rsidRPr="00A2146F">
        <w:t>от 23 ноября 2005 г. N 5</w:t>
      </w:r>
    </w:p>
    <w:p w:rsidR="00A2146F" w:rsidRPr="00A2146F" w:rsidRDefault="00A2146F">
      <w:pPr>
        <w:pStyle w:val="ConsPlusTitle"/>
        <w:jc w:val="center"/>
      </w:pPr>
    </w:p>
    <w:p w:rsidR="00A2146F" w:rsidRPr="00A2146F" w:rsidRDefault="00A2146F">
      <w:pPr>
        <w:pStyle w:val="ConsPlusTitle"/>
        <w:jc w:val="center"/>
      </w:pPr>
      <w:r w:rsidRPr="00A2146F">
        <w:t>О ЕДИНОМ НАЛОГЕ НА ВМЕНЕННЫЙ ДОХОД</w:t>
      </w:r>
    </w:p>
    <w:p w:rsidR="00A2146F" w:rsidRPr="00A2146F" w:rsidRDefault="00A2146F">
      <w:pPr>
        <w:pStyle w:val="ConsPlusTitle"/>
        <w:jc w:val="center"/>
      </w:pPr>
      <w:r w:rsidRPr="00A2146F">
        <w:t>ДЛЯ ОТДЕЛЬНЫХ ВИДОВ ДЕЯТЕЛЬНОСТИ</w:t>
      </w:r>
    </w:p>
    <w:p w:rsidR="00A2146F" w:rsidRPr="00A2146F" w:rsidRDefault="00A2146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2146F" w:rsidRPr="00A214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2146F" w:rsidRPr="00A2146F" w:rsidRDefault="00A2146F">
            <w:pPr>
              <w:pStyle w:val="ConsPlusNormal"/>
              <w:jc w:val="center"/>
            </w:pPr>
            <w:r w:rsidRPr="00A2146F">
              <w:t>Список изменяющих документов</w:t>
            </w:r>
          </w:p>
          <w:p w:rsidR="00A2146F" w:rsidRPr="00A2146F" w:rsidRDefault="00A2146F">
            <w:pPr>
              <w:pStyle w:val="ConsPlusNormal"/>
              <w:jc w:val="center"/>
            </w:pPr>
            <w:proofErr w:type="gramStart"/>
            <w:r w:rsidRPr="00A2146F">
              <w:t>(в ред. постановлений городской Думы г. Дзержинска</w:t>
            </w:r>
            <w:proofErr w:type="gramEnd"/>
          </w:p>
          <w:p w:rsidR="00A2146F" w:rsidRPr="00A2146F" w:rsidRDefault="00A2146F">
            <w:pPr>
              <w:pStyle w:val="ConsPlusNormal"/>
              <w:jc w:val="center"/>
            </w:pPr>
            <w:r w:rsidRPr="00A2146F">
              <w:t xml:space="preserve">от 01.11.2006 </w:t>
            </w:r>
            <w:hyperlink r:id="rId5" w:history="1">
              <w:r w:rsidRPr="00A2146F">
                <w:t>N 140</w:t>
              </w:r>
            </w:hyperlink>
            <w:r w:rsidRPr="00A2146F">
              <w:t xml:space="preserve">, от 01.11.2007 </w:t>
            </w:r>
            <w:hyperlink r:id="rId6" w:history="1">
              <w:r w:rsidRPr="00A2146F">
                <w:t>N 270</w:t>
              </w:r>
            </w:hyperlink>
            <w:r w:rsidRPr="00A2146F">
              <w:t>,</w:t>
            </w:r>
          </w:p>
          <w:p w:rsidR="00A2146F" w:rsidRPr="00A2146F" w:rsidRDefault="00A2146F">
            <w:pPr>
              <w:pStyle w:val="ConsPlusNormal"/>
              <w:jc w:val="center"/>
            </w:pPr>
            <w:r w:rsidRPr="00A2146F">
              <w:t xml:space="preserve">от 29.05.2008 </w:t>
            </w:r>
            <w:hyperlink r:id="rId7" w:history="1">
              <w:r w:rsidRPr="00A2146F">
                <w:t>N 346</w:t>
              </w:r>
            </w:hyperlink>
            <w:r w:rsidRPr="00A2146F">
              <w:t xml:space="preserve">, от 27.11.2008 </w:t>
            </w:r>
            <w:hyperlink r:id="rId8" w:history="1">
              <w:r w:rsidRPr="00A2146F">
                <w:t>N 400</w:t>
              </w:r>
            </w:hyperlink>
            <w:r w:rsidRPr="00A2146F">
              <w:t>)</w:t>
            </w:r>
          </w:p>
        </w:tc>
      </w:tr>
    </w:tbl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ind w:firstLine="540"/>
        <w:jc w:val="both"/>
      </w:pPr>
      <w:proofErr w:type="gramStart"/>
      <w:r w:rsidRPr="00A2146F">
        <w:t xml:space="preserve">В соответствии с Федеральным </w:t>
      </w:r>
      <w:hyperlink r:id="rId9" w:history="1">
        <w:r w:rsidRPr="00A2146F">
          <w:t>законом</w:t>
        </w:r>
      </w:hyperlink>
      <w:r w:rsidRPr="00A2146F">
        <w:t xml:space="preserve"> от 29 июля 2004 года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 и </w:t>
      </w:r>
      <w:hyperlink r:id="rId10" w:history="1">
        <w:r w:rsidRPr="00A2146F">
          <w:t>главой 26.3</w:t>
        </w:r>
      </w:hyperlink>
      <w:r w:rsidRPr="00A2146F">
        <w:t xml:space="preserve"> части второй Налогового кодекса Российской Федерации городская Дума постановляет:</w:t>
      </w:r>
      <w:proofErr w:type="gramEnd"/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 xml:space="preserve">1. Ввести </w:t>
      </w:r>
      <w:proofErr w:type="gramStart"/>
      <w:r w:rsidRPr="00A2146F">
        <w:t>в действие систему налогооб</w:t>
      </w:r>
      <w:bookmarkStart w:id="0" w:name="_GoBack"/>
      <w:bookmarkEnd w:id="0"/>
      <w:r w:rsidRPr="00A2146F">
        <w:t>ложения в виде единого налога на вмененный доход для отдельных видов деятельности на территории</w:t>
      </w:r>
      <w:proofErr w:type="gramEnd"/>
      <w:r w:rsidRPr="00A2146F">
        <w:t xml:space="preserve"> города Дзержинска.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 xml:space="preserve">2. Утратил силу. - </w:t>
      </w:r>
      <w:hyperlink r:id="rId11" w:history="1">
        <w:r w:rsidRPr="00A2146F">
          <w:t>Постановление</w:t>
        </w:r>
      </w:hyperlink>
      <w:r w:rsidRPr="00A2146F">
        <w:t xml:space="preserve"> городской Думы г. Дзержинска от 27.11.2008 N 400.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 xml:space="preserve">3. Установить на территории муниципального образования городской округ город Дзержинск </w:t>
      </w:r>
      <w:hyperlink w:anchor="P54" w:history="1">
        <w:r w:rsidRPr="00A2146F">
          <w:t>виды предпринимательской деятельности</w:t>
        </w:r>
      </w:hyperlink>
      <w:r w:rsidRPr="00A2146F">
        <w:t>, в отношении которых вводится единый налог на вмененный доход (ЕНВД) согласно приложению 1.</w:t>
      </w:r>
    </w:p>
    <w:p w:rsidR="00A2146F" w:rsidRPr="00A2146F" w:rsidRDefault="00A2146F">
      <w:pPr>
        <w:pStyle w:val="ConsPlusNormal"/>
        <w:jc w:val="both"/>
      </w:pPr>
      <w:r w:rsidRPr="00A2146F">
        <w:t xml:space="preserve">(п. 3 в ред. </w:t>
      </w:r>
      <w:hyperlink r:id="rId12" w:history="1">
        <w:r w:rsidRPr="00A2146F">
          <w:t>постановления</w:t>
        </w:r>
      </w:hyperlink>
      <w:r w:rsidRPr="00A2146F">
        <w:t xml:space="preserve"> городской Думы г. Дзержинска от 27.11.2008 N 400)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 xml:space="preserve">4. Утвердить </w:t>
      </w:r>
      <w:hyperlink w:anchor="P84" w:history="1">
        <w:r w:rsidRPr="00A2146F">
          <w:t>значения корректирующего коэффициента</w:t>
        </w:r>
      </w:hyperlink>
      <w:r w:rsidRPr="00A2146F">
        <w:t xml:space="preserve"> базовой доходности К</w:t>
      </w:r>
      <w:proofErr w:type="gramStart"/>
      <w:r w:rsidRPr="00A2146F">
        <w:t>2</w:t>
      </w:r>
      <w:proofErr w:type="gramEnd"/>
      <w:r w:rsidRPr="00A2146F">
        <w:t xml:space="preserve"> при расчете ЕНВД согласно приложению 2.</w:t>
      </w:r>
    </w:p>
    <w:p w:rsidR="00A2146F" w:rsidRPr="00A2146F" w:rsidRDefault="00A2146F">
      <w:pPr>
        <w:pStyle w:val="ConsPlusNormal"/>
        <w:jc w:val="both"/>
      </w:pPr>
      <w:r w:rsidRPr="00A2146F">
        <w:t xml:space="preserve">(п. 4 </w:t>
      </w:r>
      <w:proofErr w:type="gramStart"/>
      <w:r w:rsidRPr="00A2146F">
        <w:t>введен</w:t>
      </w:r>
      <w:proofErr w:type="gramEnd"/>
      <w:r w:rsidRPr="00A2146F">
        <w:t xml:space="preserve"> </w:t>
      </w:r>
      <w:hyperlink r:id="rId13" w:history="1">
        <w:r w:rsidRPr="00A2146F">
          <w:t>постановлением</w:t>
        </w:r>
      </w:hyperlink>
      <w:r w:rsidRPr="00A2146F">
        <w:t xml:space="preserve"> городской Думы г. Дзержинска от 27.11.2008 N 400)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hyperlink r:id="rId14" w:history="1">
        <w:r w:rsidRPr="00A2146F">
          <w:t>5</w:t>
        </w:r>
      </w:hyperlink>
      <w:r w:rsidRPr="00A2146F">
        <w:t xml:space="preserve">. Настоящее постановление вступает в силу с 1 января 2006 года, но не ранее одного месяца со дня его официального опубликования и не ранее 1-го числа очередного </w:t>
      </w:r>
      <w:hyperlink r:id="rId15" w:history="1">
        <w:r w:rsidRPr="00A2146F">
          <w:t>налогового периода</w:t>
        </w:r>
      </w:hyperlink>
      <w:r w:rsidRPr="00A2146F">
        <w:t xml:space="preserve"> по единому налогу на вмененный доход.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hyperlink r:id="rId16" w:history="1">
        <w:r w:rsidRPr="00A2146F">
          <w:t>6</w:t>
        </w:r>
      </w:hyperlink>
      <w:r w:rsidRPr="00A2146F">
        <w:t>. Настоящее постановление опубликовать в еженедельной газете "Репортер и время".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hyperlink r:id="rId17" w:history="1">
        <w:r w:rsidRPr="00A2146F">
          <w:t>7</w:t>
        </w:r>
      </w:hyperlink>
      <w:r w:rsidRPr="00A2146F">
        <w:t xml:space="preserve">. </w:t>
      </w:r>
      <w:proofErr w:type="gramStart"/>
      <w:r w:rsidRPr="00A2146F">
        <w:t>Контроль за</w:t>
      </w:r>
      <w:proofErr w:type="gramEnd"/>
      <w:r w:rsidRPr="00A2146F">
        <w:t xml:space="preserve"> выполнением настоящего постановления возложить на комитет городской Думы по предпринимательству, потребительскому рынку, управлению муниципальным имуществом и антимонопольной политике.</w:t>
      </w: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right"/>
      </w:pPr>
      <w:r w:rsidRPr="00A2146F">
        <w:t>Председатель городской Думы</w:t>
      </w:r>
    </w:p>
    <w:p w:rsidR="00A2146F" w:rsidRPr="00A2146F" w:rsidRDefault="00A2146F">
      <w:pPr>
        <w:pStyle w:val="ConsPlusNormal"/>
        <w:jc w:val="right"/>
      </w:pPr>
      <w:r w:rsidRPr="00A2146F">
        <w:t>И.А.ПОЛЯШОВ</w:t>
      </w: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right"/>
      </w:pPr>
      <w:r w:rsidRPr="00A2146F">
        <w:t>Мэр города</w:t>
      </w:r>
    </w:p>
    <w:p w:rsidR="00A2146F" w:rsidRPr="00A2146F" w:rsidRDefault="00A2146F">
      <w:pPr>
        <w:pStyle w:val="ConsPlusNormal"/>
        <w:jc w:val="right"/>
      </w:pPr>
      <w:r w:rsidRPr="00A2146F">
        <w:t>В.В.ПОРТНОВ</w:t>
      </w: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both"/>
      </w:pPr>
    </w:p>
    <w:p w:rsidR="00A2146F" w:rsidRDefault="00A2146F">
      <w:pPr>
        <w:pStyle w:val="ConsPlusNormal"/>
        <w:jc w:val="right"/>
        <w:outlineLvl w:val="0"/>
      </w:pPr>
    </w:p>
    <w:p w:rsidR="00A2146F" w:rsidRPr="00A2146F" w:rsidRDefault="00A2146F">
      <w:pPr>
        <w:pStyle w:val="ConsPlusNormal"/>
        <w:jc w:val="right"/>
        <w:outlineLvl w:val="0"/>
      </w:pPr>
      <w:r w:rsidRPr="00A2146F">
        <w:lastRenderedPageBreak/>
        <w:t>Утверждено</w:t>
      </w:r>
    </w:p>
    <w:p w:rsidR="00A2146F" w:rsidRPr="00A2146F" w:rsidRDefault="00A2146F">
      <w:pPr>
        <w:pStyle w:val="ConsPlusNormal"/>
        <w:jc w:val="right"/>
      </w:pPr>
      <w:r w:rsidRPr="00A2146F">
        <w:t>постановлением</w:t>
      </w:r>
    </w:p>
    <w:p w:rsidR="00A2146F" w:rsidRPr="00A2146F" w:rsidRDefault="00A2146F">
      <w:pPr>
        <w:pStyle w:val="ConsPlusNormal"/>
        <w:jc w:val="right"/>
      </w:pPr>
      <w:r w:rsidRPr="00A2146F">
        <w:t>городской Думы г. Дзержинска</w:t>
      </w:r>
    </w:p>
    <w:p w:rsidR="00A2146F" w:rsidRPr="00A2146F" w:rsidRDefault="00A2146F">
      <w:pPr>
        <w:pStyle w:val="ConsPlusNormal"/>
        <w:jc w:val="right"/>
      </w:pPr>
      <w:r w:rsidRPr="00A2146F">
        <w:t>от 23.11.2005 N 5</w:t>
      </w: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Title"/>
        <w:jc w:val="center"/>
      </w:pPr>
      <w:r w:rsidRPr="00A2146F">
        <w:t>ПОЛОЖЕНИЕ</w:t>
      </w:r>
    </w:p>
    <w:p w:rsidR="00A2146F" w:rsidRPr="00A2146F" w:rsidRDefault="00A2146F">
      <w:pPr>
        <w:pStyle w:val="ConsPlusTitle"/>
        <w:jc w:val="center"/>
      </w:pPr>
      <w:r w:rsidRPr="00A2146F">
        <w:t>О ВВЕДЕНИИ СИСТЕМЫ НАЛОГООБЛОЖЕНИЯ В ВИДЕ ЕДИНОГО НАЛОГА</w:t>
      </w:r>
    </w:p>
    <w:p w:rsidR="00A2146F" w:rsidRPr="00A2146F" w:rsidRDefault="00A2146F">
      <w:pPr>
        <w:pStyle w:val="ConsPlusTitle"/>
        <w:jc w:val="center"/>
      </w:pPr>
      <w:r w:rsidRPr="00A2146F">
        <w:t>НА ВМЕНЕННЫЙ ДОХОД ДЛЯ ОТДЕЛЬНЫХ ВИДОВ ДЕЯТЕЛЬНОСТИ</w:t>
      </w: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ind w:firstLine="540"/>
        <w:jc w:val="both"/>
      </w:pPr>
      <w:r w:rsidRPr="00A2146F">
        <w:t xml:space="preserve">Утратило силу. - </w:t>
      </w:r>
      <w:hyperlink r:id="rId18" w:history="1">
        <w:r w:rsidRPr="00A2146F">
          <w:t>Постановление</w:t>
        </w:r>
      </w:hyperlink>
      <w:r w:rsidRPr="00A2146F">
        <w:t xml:space="preserve"> городской Думы г. Дзержинска от 27.11.2008 N 400.</w:t>
      </w: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right"/>
        <w:outlineLvl w:val="0"/>
      </w:pPr>
      <w:r w:rsidRPr="00A2146F">
        <w:t>Приложение 1</w:t>
      </w:r>
    </w:p>
    <w:p w:rsidR="00A2146F" w:rsidRPr="00A2146F" w:rsidRDefault="00A2146F">
      <w:pPr>
        <w:pStyle w:val="ConsPlusNormal"/>
        <w:jc w:val="right"/>
      </w:pPr>
      <w:r w:rsidRPr="00A2146F">
        <w:t>к постановлению</w:t>
      </w:r>
    </w:p>
    <w:p w:rsidR="00A2146F" w:rsidRPr="00A2146F" w:rsidRDefault="00A2146F">
      <w:pPr>
        <w:pStyle w:val="ConsPlusNormal"/>
        <w:jc w:val="right"/>
      </w:pPr>
      <w:r w:rsidRPr="00A2146F">
        <w:t>городской Думы г. Дзержинска</w:t>
      </w:r>
    </w:p>
    <w:p w:rsidR="00A2146F" w:rsidRPr="00A2146F" w:rsidRDefault="00A2146F">
      <w:pPr>
        <w:pStyle w:val="ConsPlusNormal"/>
        <w:jc w:val="right"/>
      </w:pPr>
      <w:r w:rsidRPr="00A2146F">
        <w:t>от 23.11.2005 N 5</w:t>
      </w: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center"/>
      </w:pPr>
      <w:bookmarkStart w:id="1" w:name="P54"/>
      <w:bookmarkEnd w:id="1"/>
      <w:r w:rsidRPr="00A2146F">
        <w:t>ВИДЫ ПРЕДПРИНИМАТЕЛЬСКОЙ ДЕЯТЕЛЬНОСТИ</w:t>
      </w:r>
    </w:p>
    <w:p w:rsidR="00A2146F" w:rsidRPr="00A2146F" w:rsidRDefault="00A2146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2146F" w:rsidRPr="00A214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2146F" w:rsidRPr="00A2146F" w:rsidRDefault="00A2146F">
            <w:pPr>
              <w:pStyle w:val="ConsPlusNormal"/>
              <w:jc w:val="center"/>
            </w:pPr>
            <w:r w:rsidRPr="00A2146F">
              <w:t>Список изменяющих документов</w:t>
            </w:r>
          </w:p>
          <w:p w:rsidR="00A2146F" w:rsidRPr="00A2146F" w:rsidRDefault="00A2146F">
            <w:pPr>
              <w:pStyle w:val="ConsPlusNormal"/>
              <w:jc w:val="center"/>
            </w:pPr>
            <w:proofErr w:type="gramStart"/>
            <w:r w:rsidRPr="00A2146F">
              <w:t xml:space="preserve">(введены </w:t>
            </w:r>
            <w:hyperlink r:id="rId19" w:history="1">
              <w:r w:rsidRPr="00A2146F">
                <w:t>постановлением</w:t>
              </w:r>
            </w:hyperlink>
            <w:r w:rsidRPr="00A2146F">
              <w:t xml:space="preserve"> городской Думы г. Дзержинска</w:t>
            </w:r>
            <w:proofErr w:type="gramEnd"/>
          </w:p>
          <w:p w:rsidR="00A2146F" w:rsidRPr="00A2146F" w:rsidRDefault="00A2146F">
            <w:pPr>
              <w:pStyle w:val="ConsPlusNormal"/>
              <w:jc w:val="center"/>
            </w:pPr>
            <w:r w:rsidRPr="00A2146F">
              <w:t>от 27.11.2008 N 400)</w:t>
            </w:r>
          </w:p>
        </w:tc>
      </w:tr>
    </w:tbl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ind w:firstLine="540"/>
        <w:jc w:val="both"/>
      </w:pPr>
      <w:r w:rsidRPr="00A2146F">
        <w:t>Виды предпринимательской деятельности, в отношении которых вводится единый налог на вмененный доход: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 xml:space="preserve">1) оказание бытовых услуг, их групп, подгрупп, видов и (или) отдельных бытовых услуг, классифицируемых в соответствии с </w:t>
      </w:r>
      <w:hyperlink r:id="rId20" w:history="1">
        <w:r w:rsidRPr="00A2146F">
          <w:t>Общероссийским классификатором</w:t>
        </w:r>
      </w:hyperlink>
      <w:r w:rsidRPr="00A2146F">
        <w:t xml:space="preserve"> услуг населению;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2) оказание ветеринарных услуг;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3) оказание услуг по ремонту, техническому обслуживанию и мойке автотранспортных средств;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4) 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Для целей настоящего постановления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 xml:space="preserve">7) розничная торговля, осуществляемая через объекты стационарной торговой сети, не </w:t>
      </w:r>
      <w:r w:rsidRPr="00A2146F">
        <w:lastRenderedPageBreak/>
        <w:t>имеющей торговых залов, а также объекты нестационарной торговой сети;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A2146F">
        <w:t>Для целей настоящего постановления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10) распространение наружной рекламы с использованием рекламных конструкций;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11) размещение рекламы на транспортных средствах;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right"/>
        <w:outlineLvl w:val="0"/>
      </w:pPr>
      <w:r w:rsidRPr="00A2146F">
        <w:t>Приложение 2</w:t>
      </w:r>
    </w:p>
    <w:p w:rsidR="00A2146F" w:rsidRPr="00A2146F" w:rsidRDefault="00A2146F">
      <w:pPr>
        <w:pStyle w:val="ConsPlusNormal"/>
        <w:jc w:val="right"/>
      </w:pPr>
      <w:r w:rsidRPr="00A2146F">
        <w:t>к постановлению</w:t>
      </w:r>
    </w:p>
    <w:p w:rsidR="00A2146F" w:rsidRPr="00A2146F" w:rsidRDefault="00A2146F">
      <w:pPr>
        <w:pStyle w:val="ConsPlusNormal"/>
        <w:jc w:val="right"/>
      </w:pPr>
      <w:r w:rsidRPr="00A2146F">
        <w:t>городской Думы г. Дзержинска</w:t>
      </w:r>
    </w:p>
    <w:p w:rsidR="00A2146F" w:rsidRPr="00A2146F" w:rsidRDefault="00A2146F">
      <w:pPr>
        <w:pStyle w:val="ConsPlusNormal"/>
        <w:jc w:val="right"/>
      </w:pPr>
      <w:r w:rsidRPr="00A2146F">
        <w:t>от 23.11.2005 N 5</w:t>
      </w: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center"/>
      </w:pPr>
      <w:bookmarkStart w:id="2" w:name="P84"/>
      <w:bookmarkEnd w:id="2"/>
      <w:r w:rsidRPr="00A2146F">
        <w:t>ЗНАЧЕНИЯ КОРРЕКТИРУЮЩЕГО КОЭФФИЦИЕНТА</w:t>
      </w:r>
    </w:p>
    <w:p w:rsidR="00A2146F" w:rsidRPr="00A2146F" w:rsidRDefault="00A2146F">
      <w:pPr>
        <w:pStyle w:val="ConsPlusNormal"/>
        <w:jc w:val="center"/>
      </w:pPr>
      <w:r w:rsidRPr="00A2146F">
        <w:t>БАЗОВОЙ ДОХОДНОСТИ К</w:t>
      </w:r>
      <w:proofErr w:type="gramStart"/>
      <w:r w:rsidRPr="00A2146F">
        <w:t>2</w:t>
      </w:r>
      <w:proofErr w:type="gramEnd"/>
      <w:r w:rsidRPr="00A2146F">
        <w:t xml:space="preserve"> ПРИ РАСЧЕТЕ ЕНВД</w:t>
      </w:r>
    </w:p>
    <w:p w:rsidR="00A2146F" w:rsidRPr="00A2146F" w:rsidRDefault="00A2146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2146F" w:rsidRPr="00A2146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2146F" w:rsidRPr="00A2146F" w:rsidRDefault="00A2146F">
            <w:pPr>
              <w:pStyle w:val="ConsPlusNormal"/>
              <w:jc w:val="center"/>
            </w:pPr>
            <w:r w:rsidRPr="00A2146F">
              <w:t>Список изменяющих документов</w:t>
            </w:r>
          </w:p>
          <w:p w:rsidR="00A2146F" w:rsidRPr="00A2146F" w:rsidRDefault="00A2146F">
            <w:pPr>
              <w:pStyle w:val="ConsPlusNormal"/>
              <w:jc w:val="center"/>
            </w:pPr>
            <w:proofErr w:type="gramStart"/>
            <w:r w:rsidRPr="00A2146F">
              <w:t xml:space="preserve">(в ред. </w:t>
            </w:r>
            <w:hyperlink r:id="rId21" w:history="1">
              <w:r w:rsidRPr="00A2146F">
                <w:t>постановления</w:t>
              </w:r>
            </w:hyperlink>
            <w:r w:rsidRPr="00A2146F">
              <w:t xml:space="preserve"> городской Думы г. Дзержинска</w:t>
            </w:r>
            <w:proofErr w:type="gramEnd"/>
          </w:p>
          <w:p w:rsidR="00A2146F" w:rsidRPr="00A2146F" w:rsidRDefault="00A2146F">
            <w:pPr>
              <w:pStyle w:val="ConsPlusNormal"/>
              <w:jc w:val="center"/>
            </w:pPr>
            <w:r w:rsidRPr="00A2146F">
              <w:t>от 27.11.2008 N 400)</w:t>
            </w:r>
          </w:p>
        </w:tc>
      </w:tr>
    </w:tbl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Cell"/>
        <w:jc w:val="both"/>
      </w:pPr>
      <w:r w:rsidRPr="00A2146F">
        <w:t>┌───────┬───────────────────────────────────────────────────┬─────────────┐</w:t>
      </w:r>
    </w:p>
    <w:p w:rsidR="00A2146F" w:rsidRPr="00A2146F" w:rsidRDefault="00A2146F">
      <w:pPr>
        <w:pStyle w:val="ConsPlusCell"/>
        <w:jc w:val="both"/>
      </w:pPr>
      <w:r w:rsidRPr="00A2146F">
        <w:t>│   N   │                 Виды деятельности                 │  Значение   │</w:t>
      </w:r>
    </w:p>
    <w:p w:rsidR="00A2146F" w:rsidRPr="00A2146F" w:rsidRDefault="00A2146F">
      <w:pPr>
        <w:pStyle w:val="ConsPlusCell"/>
        <w:jc w:val="both"/>
      </w:pPr>
      <w:r w:rsidRPr="00A2146F">
        <w:t xml:space="preserve">│  </w:t>
      </w:r>
      <w:proofErr w:type="gramStart"/>
      <w:r w:rsidRPr="00A2146F">
        <w:t>п</w:t>
      </w:r>
      <w:proofErr w:type="gramEnd"/>
      <w:r w:rsidRPr="00A2146F">
        <w:t>/п  │                                                   │коэффициента │</w:t>
      </w:r>
    </w:p>
    <w:p w:rsidR="00A2146F" w:rsidRPr="00A2146F" w:rsidRDefault="00A2146F">
      <w:pPr>
        <w:pStyle w:val="ConsPlusCell"/>
        <w:jc w:val="both"/>
      </w:pPr>
      <w:r w:rsidRPr="00A2146F">
        <w:t>│       │                                                   │     К</w:t>
      </w:r>
      <w:proofErr w:type="gramStart"/>
      <w:r w:rsidRPr="00A2146F">
        <w:t>2</w:t>
      </w:r>
      <w:proofErr w:type="gramEnd"/>
      <w:r w:rsidRPr="00A2146F">
        <w:t xml:space="preserve">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   1   │                         2                         │    3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     │Оказание бытовых услуг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lastRenderedPageBreak/>
        <w:t>│1.1.   │Ремонт, покраска и пошив обуви                     │    0,17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│1.2.   │Ремонт,  пошив  швейных  изделий,  головных уборов,│    0,28     │</w:t>
      </w:r>
    </w:p>
    <w:p w:rsidR="00A2146F" w:rsidRPr="00A2146F" w:rsidRDefault="00A2146F">
      <w:pPr>
        <w:pStyle w:val="ConsPlusCell"/>
        <w:jc w:val="both"/>
      </w:pPr>
      <w:r w:rsidRPr="00A2146F">
        <w:t>│       │текстильной  галантереи,  ремонт,  пошив  и вязание│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│трикотажных изделий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│1.3.   │Ремонт, пошив меховых и кожаных изделий            │    0,27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│1.4.   │Ремонт и изготовление металлоизделий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│1.4.1. │Ремонт и изготовление сейфов и  несгораемых  шкафов│    0,52     │</w:t>
      </w:r>
    </w:p>
    <w:p w:rsidR="00A2146F" w:rsidRPr="00A2146F" w:rsidRDefault="00A2146F">
      <w:pPr>
        <w:pStyle w:val="ConsPlusCell"/>
        <w:jc w:val="both"/>
      </w:pPr>
      <w:r w:rsidRPr="00A2146F">
        <w:t xml:space="preserve">│       │индивидуального пользования,  изготовление  </w:t>
      </w:r>
      <w:proofErr w:type="gramStart"/>
      <w:r w:rsidRPr="00A2146F">
        <w:t>ажурных</w:t>
      </w:r>
      <w:proofErr w:type="gramEnd"/>
      <w:r w:rsidRPr="00A2146F">
        <w:t>│             │</w:t>
      </w:r>
    </w:p>
    <w:p w:rsidR="00A2146F" w:rsidRPr="00A2146F" w:rsidRDefault="00A2146F">
      <w:pPr>
        <w:pStyle w:val="ConsPlusCell"/>
        <w:jc w:val="both"/>
      </w:pPr>
      <w:r w:rsidRPr="00A2146F">
        <w:t xml:space="preserve">│       │декоративных решеток из металла  по  </w:t>
      </w:r>
      <w:proofErr w:type="gramStart"/>
      <w:r w:rsidRPr="00A2146F">
        <w:t>индивидуальным</w:t>
      </w:r>
      <w:proofErr w:type="gramEnd"/>
      <w:r w:rsidRPr="00A2146F">
        <w:t>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│заказам,  изготовление  секций  парниковых  теплиц,│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│изготовление памятников, ограждений, ворот и дверей│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│из металла       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│1.4.2. │Ремонт и изготовление ювелирных изделий            │    0,42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│1.4.3. │Прочие   работы   по   ремонту    и    изготовлению│    0,33     │</w:t>
      </w:r>
    </w:p>
    <w:p w:rsidR="00A2146F" w:rsidRPr="00A2146F" w:rsidRDefault="00A2146F">
      <w:pPr>
        <w:pStyle w:val="ConsPlusCell"/>
        <w:jc w:val="both"/>
      </w:pPr>
      <w:r w:rsidRPr="00A2146F">
        <w:t>│       │металлоизделий   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│1.5.   │Ремонт бытовых приборов                            │    0,13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│1.6.   │Ремонт бытовых машин                               │    0,26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│1.7.   │Ремонт    и    техническое   обслуживание   бытовой│    0,35     │</w:t>
      </w:r>
    </w:p>
    <w:p w:rsidR="00A2146F" w:rsidRPr="00A2146F" w:rsidRDefault="00A2146F">
      <w:pPr>
        <w:pStyle w:val="ConsPlusCell"/>
        <w:jc w:val="both"/>
      </w:pPr>
      <w:r w:rsidRPr="00A2146F">
        <w:t>│       │радиоэлектронной аппаратуры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│1.8.   │Ремонт мебели                                      │    0,55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│1.9.   │Химическая чистка и крашение, услуги прачечных     │    0,11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│1.10.  │Ремонт и строительство жилья и других построек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│1.10.1.│Ремонт жилья и других построек                     │    0,92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│1.10.2.│Строительство жилья и других построек              │    0,992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│1.10.3.│Прочие   услуги,   оказываемые   при   ремонте    и│    0,81     │</w:t>
      </w:r>
    </w:p>
    <w:p w:rsidR="00A2146F" w:rsidRPr="00A2146F" w:rsidRDefault="00A2146F">
      <w:pPr>
        <w:pStyle w:val="ConsPlusCell"/>
        <w:jc w:val="both"/>
      </w:pPr>
      <w:r w:rsidRPr="00A2146F">
        <w:t>│       │</w:t>
      </w:r>
      <w:proofErr w:type="gramStart"/>
      <w:r w:rsidRPr="00A2146F">
        <w:t>строительстве</w:t>
      </w:r>
      <w:proofErr w:type="gramEnd"/>
      <w:r w:rsidRPr="00A2146F">
        <w:t xml:space="preserve"> жилья и других построек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│1.11.  │Услуги фотоателье и фот</w:t>
      </w:r>
      <w:proofErr w:type="gramStart"/>
      <w:r w:rsidRPr="00A2146F">
        <w:t>о-</w:t>
      </w:r>
      <w:proofErr w:type="gramEnd"/>
      <w:r w:rsidRPr="00A2146F">
        <w:t xml:space="preserve"> и кинолабораторий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│1.11.1.│Контактная  и  проекционная   печать   с   негатива│    0,37     │</w:t>
      </w:r>
    </w:p>
    <w:p w:rsidR="00A2146F" w:rsidRPr="00A2146F" w:rsidRDefault="00A2146F">
      <w:pPr>
        <w:pStyle w:val="ConsPlusCell"/>
        <w:jc w:val="both"/>
      </w:pPr>
      <w:r w:rsidRPr="00A2146F">
        <w:t>│       │заказчика        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│1.11.2.│Прочие услуги фотоателье и фот</w:t>
      </w:r>
      <w:proofErr w:type="gramStart"/>
      <w:r w:rsidRPr="00A2146F">
        <w:t>о-</w:t>
      </w:r>
      <w:proofErr w:type="gramEnd"/>
      <w:r w:rsidRPr="00A2146F">
        <w:t xml:space="preserve"> и кинолабораторий │    0,30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│1.12.  │Услуги бань и душевых                              │    0,38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│1.12.1.│Прочие услуги, оказываемые в банях и душевых       │    0,44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│1.13.  │Услуги парикмахерских                              │    0,39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│1.14.  │Услуги предприятий по прокату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│1.14.1.│Прокат игровых  автоматов  и  компьютеров,  игровых│    0,29     │</w:t>
      </w:r>
    </w:p>
    <w:p w:rsidR="00A2146F" w:rsidRPr="00A2146F" w:rsidRDefault="00A2146F">
      <w:pPr>
        <w:pStyle w:val="ConsPlusCell"/>
        <w:jc w:val="both"/>
      </w:pPr>
      <w:r w:rsidRPr="00A2146F">
        <w:t>│       │программ         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│1.14.2.│Прочие услуги проката                              │    0,18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│1.15.  │Ритуальные, обрядовые услуги                       │    0,31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lastRenderedPageBreak/>
        <w:t>│1.16.  │Прочие услуги    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│1.16.1.│Прочие услуги производственного характера          │    0,51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│1.16.2.│Прочие услуги непроизводственного характера        │    0,34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│2.     │Оказание    услуг    по    ремонту,    техническому│    0,74     │</w:t>
      </w:r>
    </w:p>
    <w:p w:rsidR="00A2146F" w:rsidRPr="00A2146F" w:rsidRDefault="00A2146F">
      <w:pPr>
        <w:pStyle w:val="ConsPlusCell"/>
        <w:jc w:val="both"/>
      </w:pPr>
      <w:r w:rsidRPr="00A2146F">
        <w:t>│       │обслуживанию и мойке автотранспортных средств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│3.     │Оказание ветеринарных услуг                        │    0,46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 xml:space="preserve">│4.     │Оказание  услуг  по  предоставлению  во   временное│  Период </w:t>
      </w:r>
      <w:proofErr w:type="gramStart"/>
      <w:r w:rsidRPr="00A2146F">
        <w:t>с</w:t>
      </w:r>
      <w:proofErr w:type="gramEnd"/>
      <w:r w:rsidRPr="00A2146F">
        <w:t xml:space="preserve">   │</w:t>
      </w:r>
    </w:p>
    <w:p w:rsidR="00A2146F" w:rsidRPr="00A2146F" w:rsidRDefault="00A2146F">
      <w:pPr>
        <w:pStyle w:val="ConsPlusCell"/>
        <w:jc w:val="both"/>
      </w:pPr>
      <w:r w:rsidRPr="00A2146F">
        <w:t>│       │владение   (в   пользование)   мест   для   стоянки│   учетом    │</w:t>
      </w:r>
    </w:p>
    <w:p w:rsidR="00A2146F" w:rsidRPr="00A2146F" w:rsidRDefault="00A2146F">
      <w:pPr>
        <w:pStyle w:val="ConsPlusCell"/>
        <w:jc w:val="both"/>
      </w:pPr>
      <w:r w:rsidRPr="00A2146F">
        <w:t>│       │автотранспортных  средств,  а  также  по   хранению│ сезонности  │</w:t>
      </w:r>
    </w:p>
    <w:p w:rsidR="00A2146F" w:rsidRPr="00A2146F" w:rsidRDefault="00A2146F">
      <w:pPr>
        <w:pStyle w:val="ConsPlusCell"/>
        <w:jc w:val="both"/>
      </w:pPr>
      <w:proofErr w:type="gramStart"/>
      <w:r w:rsidRPr="00A2146F">
        <w:t>│       │автотранспортных средств на  платных  стоянках  (за├──────┬──────┤</w:t>
      </w:r>
      <w:proofErr w:type="gramEnd"/>
    </w:p>
    <w:p w:rsidR="00A2146F" w:rsidRPr="00A2146F" w:rsidRDefault="00A2146F">
      <w:pPr>
        <w:pStyle w:val="ConsPlusCell"/>
        <w:jc w:val="both"/>
      </w:pPr>
      <w:r w:rsidRPr="00A2146F">
        <w:t xml:space="preserve">│       │исключением штрафных стоянок)                      │  с   │  </w:t>
      </w:r>
      <w:proofErr w:type="gramStart"/>
      <w:r w:rsidRPr="00A2146F">
        <w:t>с</w:t>
      </w:r>
      <w:proofErr w:type="gramEnd"/>
      <w:r w:rsidRPr="00A2146F">
        <w:t xml:space="preserve">   │</w:t>
      </w:r>
    </w:p>
    <w:p w:rsidR="00A2146F" w:rsidRPr="00A2146F" w:rsidRDefault="00A2146F">
      <w:pPr>
        <w:pStyle w:val="ConsPlusCell"/>
        <w:jc w:val="both"/>
      </w:pPr>
      <w:r w:rsidRPr="00A2146F">
        <w:t>│       │                                                   │01.04 │01.10 │</w:t>
      </w:r>
    </w:p>
    <w:p w:rsidR="00A2146F" w:rsidRPr="00A2146F" w:rsidRDefault="00A2146F">
      <w:pPr>
        <w:pStyle w:val="ConsPlusCell"/>
        <w:jc w:val="both"/>
      </w:pPr>
      <w:r w:rsidRPr="00A2146F">
        <w:t xml:space="preserve">│       │                                                   │  по  │  </w:t>
      </w:r>
      <w:proofErr w:type="gramStart"/>
      <w:r w:rsidRPr="00A2146F">
        <w:t>по</w:t>
      </w:r>
      <w:proofErr w:type="gramEnd"/>
      <w:r w:rsidRPr="00A2146F">
        <w:t xml:space="preserve">  │</w:t>
      </w:r>
    </w:p>
    <w:p w:rsidR="00A2146F" w:rsidRPr="00A2146F" w:rsidRDefault="00A2146F">
      <w:pPr>
        <w:pStyle w:val="ConsPlusCell"/>
        <w:jc w:val="both"/>
      </w:pPr>
      <w:r w:rsidRPr="00A2146F">
        <w:t>│       │                                                   │30.09 │31.03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├───────┼───────────────────────────────────────────────────┼──────┼──────┤</w:t>
      </w:r>
    </w:p>
    <w:p w:rsidR="00A2146F" w:rsidRPr="00A2146F" w:rsidRDefault="00A2146F">
      <w:pPr>
        <w:pStyle w:val="ConsPlusCell"/>
        <w:jc w:val="both"/>
      </w:pPr>
      <w:bookmarkStart w:id="3" w:name="P183"/>
      <w:bookmarkEnd w:id="3"/>
      <w:r w:rsidRPr="00A2146F">
        <w:t xml:space="preserve">│4.1.   │Улицы:  </w:t>
      </w:r>
      <w:proofErr w:type="spellStart"/>
      <w:r w:rsidRPr="00A2146F">
        <w:t>Новомосковская</w:t>
      </w:r>
      <w:proofErr w:type="spellEnd"/>
      <w:r w:rsidRPr="00A2146F">
        <w:t>,  Советская,   Водозаборная,│ 0,9  │ 0,85 │</w:t>
      </w:r>
    </w:p>
    <w:p w:rsidR="00A2146F" w:rsidRPr="00A2146F" w:rsidRDefault="00A2146F">
      <w:pPr>
        <w:pStyle w:val="ConsPlusCell"/>
        <w:jc w:val="both"/>
      </w:pPr>
      <w:r w:rsidRPr="00A2146F">
        <w:t xml:space="preserve">│       │Черняховского,       </w:t>
      </w:r>
      <w:proofErr w:type="gramStart"/>
      <w:r w:rsidRPr="00A2146F">
        <w:t>Пушкинская</w:t>
      </w:r>
      <w:proofErr w:type="gramEnd"/>
      <w:r w:rsidRPr="00A2146F">
        <w:t xml:space="preserve">,        </w:t>
      </w:r>
      <w:proofErr w:type="spellStart"/>
      <w:r w:rsidRPr="00A2146F">
        <w:t>Патоличева</w:t>
      </w:r>
      <w:proofErr w:type="spellEnd"/>
      <w:r w:rsidRPr="00A2146F">
        <w:t>,│      │      │</w:t>
      </w:r>
    </w:p>
    <w:p w:rsidR="00A2146F" w:rsidRPr="00A2146F" w:rsidRDefault="00A2146F">
      <w:pPr>
        <w:pStyle w:val="ConsPlusCell"/>
        <w:jc w:val="both"/>
      </w:pPr>
      <w:r w:rsidRPr="00A2146F">
        <w:t>│       │Студенческая,  Бутлерова,  Молодежная,   набережная│      │      │</w:t>
      </w:r>
    </w:p>
    <w:p w:rsidR="00A2146F" w:rsidRPr="00A2146F" w:rsidRDefault="00A2146F">
      <w:pPr>
        <w:pStyle w:val="ConsPlusCell"/>
        <w:jc w:val="both"/>
      </w:pPr>
      <w:r w:rsidRPr="00A2146F">
        <w:t xml:space="preserve">│       │Окская, пр. </w:t>
      </w:r>
      <w:proofErr w:type="gramStart"/>
      <w:r w:rsidRPr="00A2146F">
        <w:t>Ленина (от ул. Черняховского в  сторону│      │      │</w:t>
      </w:r>
      <w:proofErr w:type="gramEnd"/>
    </w:p>
    <w:p w:rsidR="00A2146F" w:rsidRPr="00A2146F" w:rsidRDefault="00A2146F">
      <w:pPr>
        <w:pStyle w:val="ConsPlusCell"/>
        <w:jc w:val="both"/>
      </w:pPr>
      <w:proofErr w:type="gramStart"/>
      <w:r w:rsidRPr="00A2146F">
        <w:t>│       │</w:t>
      </w:r>
      <w:proofErr w:type="spellStart"/>
      <w:r w:rsidRPr="00A2146F">
        <w:t>пром</w:t>
      </w:r>
      <w:proofErr w:type="spellEnd"/>
      <w:r w:rsidRPr="00A2146F">
        <w:t>. зоны)                                        │      │      │</w:t>
      </w:r>
      <w:proofErr w:type="gramEnd"/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├───────┼───────────────────────────────────────────────────┼──────┼──────┤</w:t>
      </w:r>
    </w:p>
    <w:p w:rsidR="00A2146F" w:rsidRPr="00A2146F" w:rsidRDefault="00A2146F">
      <w:pPr>
        <w:pStyle w:val="ConsPlusCell"/>
        <w:jc w:val="both"/>
      </w:pPr>
      <w:r w:rsidRPr="00A2146F">
        <w:t xml:space="preserve">│4.2.   │Другие районы города, не вошедшие в </w:t>
      </w:r>
      <w:hyperlink w:anchor="P183" w:history="1">
        <w:r w:rsidRPr="00A2146F">
          <w:t>п. 4.1</w:t>
        </w:r>
      </w:hyperlink>
      <w:r w:rsidRPr="00A2146F">
        <w:t xml:space="preserve">         │ 1,0  │ 0,95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├───────┼───────────────────────────────────────────────────┴──────┴──────┤</w:t>
      </w:r>
    </w:p>
    <w:p w:rsidR="00A2146F" w:rsidRPr="00A2146F" w:rsidRDefault="00A2146F">
      <w:pPr>
        <w:pStyle w:val="ConsPlusCell"/>
        <w:jc w:val="both"/>
      </w:pPr>
      <w:r w:rsidRPr="00A2146F">
        <w:t>│5.     │Оказание автотранспортных услуг по перевозке пассажиров и грузов,│</w:t>
      </w:r>
    </w:p>
    <w:p w:rsidR="00A2146F" w:rsidRPr="00A2146F" w:rsidRDefault="00A2146F">
      <w:pPr>
        <w:pStyle w:val="ConsPlusCell"/>
        <w:jc w:val="both"/>
      </w:pPr>
      <w:r w:rsidRPr="00A2146F">
        <w:t>│       │</w:t>
      </w:r>
      <w:proofErr w:type="gramStart"/>
      <w:r w:rsidRPr="00A2146F">
        <w:t>осуществляемых</w:t>
      </w:r>
      <w:proofErr w:type="gramEnd"/>
      <w:r w:rsidRPr="00A2146F">
        <w:t xml:space="preserve"> организациями и индивидуальными предпринимателями,│</w:t>
      </w:r>
    </w:p>
    <w:p w:rsidR="00A2146F" w:rsidRPr="00A2146F" w:rsidRDefault="00A2146F">
      <w:pPr>
        <w:pStyle w:val="ConsPlusCell"/>
        <w:jc w:val="both"/>
      </w:pPr>
      <w:proofErr w:type="gramStart"/>
      <w:r w:rsidRPr="00A2146F">
        <w:t>│       │имеющими на праве  собственности  или  ином  праве  (пользования,│</w:t>
      </w:r>
      <w:proofErr w:type="gramEnd"/>
    </w:p>
    <w:p w:rsidR="00A2146F" w:rsidRPr="00A2146F" w:rsidRDefault="00A2146F">
      <w:pPr>
        <w:pStyle w:val="ConsPlusCell"/>
        <w:jc w:val="both"/>
      </w:pPr>
      <w:r w:rsidRPr="00A2146F">
        <w:t>│       │владения и (или) распоряжения) не более 20 транспортных  средств,│</w:t>
      </w:r>
    </w:p>
    <w:p w:rsidR="00A2146F" w:rsidRPr="00A2146F" w:rsidRDefault="00A2146F">
      <w:pPr>
        <w:pStyle w:val="ConsPlusCell"/>
        <w:jc w:val="both"/>
      </w:pPr>
      <w:r w:rsidRPr="00A2146F">
        <w:t>│       │предназначенных для оказания таких услуг            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├───────┼───────────────────────────────────────────────────┬─────────────┤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│5.1.   │Грузовые         перевозки          автотранспортом│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│грузоподъемностью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│5.1.1. │до 4,5 т                                           │    0,64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│5.1.2. │свыше 4,5 т                                        │    0,98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│5.2.   │Перевозки пассажиров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│5.2.1. │до 5 мест                                          │    0,999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│5.2.2. │от 6 до 15 мест                                    │    0,901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│5.2.3. │от 16 до 24 мест                                   │    0,601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│5.2.4. │от 25 и выше                                       │    0,401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├───────┼───────────────────────────────────────────────────┴─────────────┤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│6.     │Распространение и (или) размещение наружной рекламы 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├───────┼───────────────────────────────────────────────────┬─────────────┤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│6.1.   │Распространение наружной рекламы  с  использованием│    0,251    │</w:t>
      </w:r>
    </w:p>
    <w:p w:rsidR="00A2146F" w:rsidRPr="00A2146F" w:rsidRDefault="00A2146F">
      <w:pPr>
        <w:pStyle w:val="ConsPlusCell"/>
        <w:jc w:val="both"/>
      </w:pPr>
      <w:proofErr w:type="gramStart"/>
      <w:r w:rsidRPr="00A2146F">
        <w:t>│       │рекламных  конструкций  (за  исключением  рекламных│             │</w:t>
      </w:r>
      <w:proofErr w:type="gramEnd"/>
    </w:p>
    <w:p w:rsidR="00A2146F" w:rsidRPr="00A2146F" w:rsidRDefault="00A2146F">
      <w:pPr>
        <w:pStyle w:val="ConsPlusCell"/>
        <w:jc w:val="both"/>
      </w:pPr>
      <w:r w:rsidRPr="00A2146F">
        <w:t>│       │конструкций с автоматической сменой  изображения  и│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│электронных табло)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│6.2.   │Распространение наружной рекламы  с  использованием│    0,108    │</w:t>
      </w:r>
    </w:p>
    <w:p w:rsidR="00A2146F" w:rsidRPr="00A2146F" w:rsidRDefault="00A2146F">
      <w:pPr>
        <w:pStyle w:val="ConsPlusCell"/>
        <w:jc w:val="both"/>
      </w:pPr>
      <w:r w:rsidRPr="00A2146F">
        <w:t>│       │рекламных  конструкций  с   автоматической   сменой│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│изображения      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│6.3.   │Распространение   наружной   рекламы    посредством│    0,106    │</w:t>
      </w:r>
    </w:p>
    <w:p w:rsidR="00A2146F" w:rsidRPr="00A2146F" w:rsidRDefault="00A2146F">
      <w:pPr>
        <w:pStyle w:val="ConsPlusCell"/>
        <w:jc w:val="both"/>
      </w:pPr>
      <w:r w:rsidRPr="00A2146F">
        <w:t>│       │электронных табло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lastRenderedPageBreak/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│6.4.   │Распространение рекламы на  транспортных  средствах│    1        │</w:t>
      </w:r>
    </w:p>
    <w:p w:rsidR="00A2146F" w:rsidRPr="00A2146F" w:rsidRDefault="00A2146F">
      <w:pPr>
        <w:pStyle w:val="ConsPlusCell"/>
        <w:jc w:val="both"/>
      </w:pPr>
      <w:r w:rsidRPr="00A2146F">
        <w:t>│       │(кроме трамваев и троллейбусов)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│6.5.   │Распространение рекламы на трамваях, троллейбусах  │    0,611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├───────┼───────────────────────────────────────────────────┴─────────────┤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│7.     │Розничная торговля                                  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├───────┼───────────────────────────────────────────────────┬─────────────┤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│7.1.   │Розничная торговля,  осуществляемая  через  объекты│ Значение К</w:t>
      </w:r>
      <w:proofErr w:type="gramStart"/>
      <w:r w:rsidRPr="00A2146F">
        <w:t>2</w:t>
      </w:r>
      <w:proofErr w:type="gramEnd"/>
      <w:r w:rsidRPr="00A2146F">
        <w:t xml:space="preserve"> │</w:t>
      </w:r>
    </w:p>
    <w:p w:rsidR="00A2146F" w:rsidRPr="00A2146F" w:rsidRDefault="00A2146F">
      <w:pPr>
        <w:pStyle w:val="ConsPlusCell"/>
        <w:jc w:val="both"/>
      </w:pPr>
      <w:r w:rsidRPr="00A2146F">
        <w:t>│       │торговой сети, имеющие торговые залы               │определяется │</w:t>
      </w:r>
    </w:p>
    <w:p w:rsidR="00A2146F" w:rsidRPr="00A2146F" w:rsidRDefault="00A2146F">
      <w:pPr>
        <w:pStyle w:val="ConsPlusCell"/>
        <w:jc w:val="both"/>
      </w:pPr>
      <w:r w:rsidRPr="00A2146F">
        <w:t>│       │                                                   │      в      │</w:t>
      </w:r>
    </w:p>
    <w:p w:rsidR="00A2146F" w:rsidRPr="00A2146F" w:rsidRDefault="00A2146F">
      <w:pPr>
        <w:pStyle w:val="ConsPlusCell"/>
        <w:jc w:val="both"/>
      </w:pPr>
      <w:r w:rsidRPr="00A2146F">
        <w:t>│       │                                                   │</w:t>
      </w:r>
      <w:proofErr w:type="gramStart"/>
      <w:r w:rsidRPr="00A2146F">
        <w:t>соответствии</w:t>
      </w:r>
      <w:proofErr w:type="gramEnd"/>
      <w:r w:rsidRPr="00A2146F">
        <w:t xml:space="preserve"> │</w:t>
      </w:r>
    </w:p>
    <w:p w:rsidR="00A2146F" w:rsidRPr="00A2146F" w:rsidRDefault="00A2146F">
      <w:pPr>
        <w:pStyle w:val="ConsPlusCell"/>
        <w:jc w:val="both"/>
      </w:pPr>
      <w:r w:rsidRPr="00A2146F">
        <w:t>│       │                                                   │с таблицей 1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│7.2.   │Розничная торговля,  осуществляемая  через  объекты│             │</w:t>
      </w:r>
    </w:p>
    <w:p w:rsidR="00A2146F" w:rsidRPr="00A2146F" w:rsidRDefault="00A2146F">
      <w:pPr>
        <w:pStyle w:val="ConsPlusCell"/>
        <w:jc w:val="both"/>
      </w:pPr>
      <w:r w:rsidRPr="00A2146F">
        <w:t xml:space="preserve">│       │стационарной торговой  сети,  не  имеющие  </w:t>
      </w:r>
      <w:proofErr w:type="gramStart"/>
      <w:r w:rsidRPr="00A2146F">
        <w:t>торговых</w:t>
      </w:r>
      <w:proofErr w:type="gramEnd"/>
      <w:r w:rsidRPr="00A2146F">
        <w:t>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│залов            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│7.2.1. │специализированная    торговля    (уд</w:t>
      </w:r>
      <w:proofErr w:type="gramStart"/>
      <w:r w:rsidRPr="00A2146F">
        <w:t>.</w:t>
      </w:r>
      <w:proofErr w:type="gramEnd"/>
      <w:r w:rsidRPr="00A2146F">
        <w:t xml:space="preserve">    </w:t>
      </w:r>
      <w:proofErr w:type="gramStart"/>
      <w:r w:rsidRPr="00A2146F">
        <w:t>в</w:t>
      </w:r>
      <w:proofErr w:type="gramEnd"/>
      <w:r w:rsidRPr="00A2146F">
        <w:t>ес     в│    0,88     │</w:t>
      </w:r>
    </w:p>
    <w:p w:rsidR="00A2146F" w:rsidRPr="00A2146F" w:rsidRDefault="00A2146F">
      <w:pPr>
        <w:pStyle w:val="ConsPlusCell"/>
        <w:jc w:val="both"/>
      </w:pPr>
      <w:r w:rsidRPr="00A2146F">
        <w:t>│       │</w:t>
      </w:r>
      <w:proofErr w:type="gramStart"/>
      <w:r w:rsidRPr="00A2146F">
        <w:t>товарообороте</w:t>
      </w:r>
      <w:proofErr w:type="gramEnd"/>
      <w:r w:rsidRPr="00A2146F">
        <w:t xml:space="preserve"> не менее 100%)  печатной  продукцией,│             │</w:t>
      </w:r>
    </w:p>
    <w:p w:rsidR="00A2146F" w:rsidRPr="00A2146F" w:rsidRDefault="00A2146F">
      <w:pPr>
        <w:pStyle w:val="ConsPlusCell"/>
        <w:jc w:val="both"/>
      </w:pPr>
      <w:r w:rsidRPr="00A2146F">
        <w:t xml:space="preserve">│       │цветами, мороженым, безалкогольными напитками </w:t>
      </w:r>
      <w:proofErr w:type="gramStart"/>
      <w:r w:rsidRPr="00A2146F">
        <w:t>через</w:t>
      </w:r>
      <w:proofErr w:type="gramEnd"/>
      <w:r w:rsidRPr="00A2146F">
        <w:t>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│киоски и торговые автоматы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│7.2.2. │реализация  остальных  товаров   через   киоски   и│    0,98     │</w:t>
      </w:r>
    </w:p>
    <w:p w:rsidR="00A2146F" w:rsidRPr="00A2146F" w:rsidRDefault="00A2146F">
      <w:pPr>
        <w:pStyle w:val="ConsPlusCell"/>
        <w:jc w:val="both"/>
      </w:pPr>
      <w:r w:rsidRPr="00A2146F">
        <w:t>│       │торговые автоматы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│7.2.3. │реализация товаров  (</w:t>
      </w:r>
      <w:proofErr w:type="gramStart"/>
      <w:r w:rsidRPr="00A2146F">
        <w:t>кроме</w:t>
      </w:r>
      <w:proofErr w:type="gramEnd"/>
      <w:r w:rsidRPr="00A2146F">
        <w:t xml:space="preserve">  указанных  в  </w:t>
      </w:r>
      <w:hyperlink w:anchor="P257" w:history="1">
        <w:r w:rsidRPr="00A2146F">
          <w:t>п. 7.2.4</w:t>
        </w:r>
      </w:hyperlink>
      <w:r w:rsidRPr="00A2146F">
        <w:t>)│    0,75     │</w:t>
      </w:r>
    </w:p>
    <w:p w:rsidR="00A2146F" w:rsidRPr="00A2146F" w:rsidRDefault="00A2146F">
      <w:pPr>
        <w:pStyle w:val="ConsPlusCell"/>
        <w:jc w:val="both"/>
      </w:pPr>
      <w:r w:rsidRPr="00A2146F">
        <w:t>│       │через  торговые  места  крытых  рынков  и  торговых│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│комплексов       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bookmarkStart w:id="4" w:name="P257"/>
      <w:bookmarkEnd w:id="4"/>
      <w:proofErr w:type="gramStart"/>
      <w:r w:rsidRPr="00A2146F">
        <w:t>│7.2.4. │реализация сельскохозяйственной  продукции  (овощи,│    0,65     │</w:t>
      </w:r>
      <w:proofErr w:type="gramEnd"/>
    </w:p>
    <w:p w:rsidR="00A2146F" w:rsidRPr="00A2146F" w:rsidRDefault="00A2146F">
      <w:pPr>
        <w:pStyle w:val="ConsPlusCell"/>
        <w:jc w:val="both"/>
      </w:pPr>
      <w:r w:rsidRPr="00A2146F">
        <w:t>│       │фрукты, зелень, ягоды,  семена,  саженцы),  изделия│             │</w:t>
      </w:r>
    </w:p>
    <w:p w:rsidR="00A2146F" w:rsidRPr="00A2146F" w:rsidRDefault="00A2146F">
      <w:pPr>
        <w:pStyle w:val="ConsPlusCell"/>
        <w:jc w:val="both"/>
      </w:pPr>
      <w:r w:rsidRPr="00A2146F">
        <w:t xml:space="preserve">│       │народных художественных  промыслов  через  </w:t>
      </w:r>
      <w:proofErr w:type="gramStart"/>
      <w:r w:rsidRPr="00A2146F">
        <w:t>торговые</w:t>
      </w:r>
      <w:proofErr w:type="gramEnd"/>
      <w:r w:rsidRPr="00A2146F">
        <w:t>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│прилавки крытых рынков и торговых комплексов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│7.2.5. │реализация товаров в почтовых отделениях связи     │    0,62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│7.2.6. │реализация товаров в прочих местах                 │    1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│7.3.   │Розничная торговля,  осуществляемая  через  объекты│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│нестационарной торговой сети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│7.3.1. │</w:t>
      </w:r>
      <w:proofErr w:type="gramStart"/>
      <w:r w:rsidRPr="00A2146F">
        <w:t>Реализация сельскохозяйственной  продукции  (овощи,│    0,51     │</w:t>
      </w:r>
      <w:proofErr w:type="gramEnd"/>
    </w:p>
    <w:p w:rsidR="00A2146F" w:rsidRPr="00A2146F" w:rsidRDefault="00A2146F">
      <w:pPr>
        <w:pStyle w:val="ConsPlusCell"/>
        <w:jc w:val="both"/>
      </w:pPr>
      <w:r w:rsidRPr="00A2146F">
        <w:t>│       │фрукты, зелень, ягоды,  семена,  саженцы),  изделия│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│народных художественных промыслов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│7.3.2. │</w:t>
      </w:r>
      <w:proofErr w:type="gramStart"/>
      <w:r w:rsidRPr="00A2146F">
        <w:t>Реализация   продовольственных    товаров    (кроме│    0,61     │</w:t>
      </w:r>
      <w:proofErr w:type="gramEnd"/>
    </w:p>
    <w:p w:rsidR="00A2146F" w:rsidRPr="00A2146F" w:rsidRDefault="00A2146F">
      <w:pPr>
        <w:pStyle w:val="ConsPlusCell"/>
        <w:jc w:val="both"/>
      </w:pPr>
      <w:r w:rsidRPr="00A2146F">
        <w:t>│       │сельскохозяйственной продукции)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│7.3.3. │Реализация непродовольственных товаров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       │одежда и головные уборы из натуральной кожи и меха,│    0,85     │</w:t>
      </w:r>
    </w:p>
    <w:p w:rsidR="00A2146F" w:rsidRPr="00A2146F" w:rsidRDefault="00A2146F">
      <w:pPr>
        <w:pStyle w:val="ConsPlusCell"/>
        <w:jc w:val="both"/>
      </w:pPr>
      <w:r w:rsidRPr="00A2146F">
        <w:t>│       │бытовая техника, ковры, автозапчасти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       │остальные товары, не перечисленные выше            │    0,68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│7.4.   │Разносная (развозная) торговля                     │    0,99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├───────┼───────────────────────────────────────────────────┴─────────────┤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│8.     │Оказание услуг общественного питания                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├───────┼─────────────────────────────────────────────────────────────────┤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 xml:space="preserve">│8.1.   │Оказание  услуг  общественного  питания,   осуществляемых   </w:t>
      </w:r>
      <w:proofErr w:type="gramStart"/>
      <w:r w:rsidRPr="00A2146F">
        <w:t>через</w:t>
      </w:r>
      <w:proofErr w:type="gramEnd"/>
      <w:r w:rsidRPr="00A2146F">
        <w:t>│</w:t>
      </w:r>
    </w:p>
    <w:p w:rsidR="00A2146F" w:rsidRPr="00A2146F" w:rsidRDefault="00A2146F">
      <w:pPr>
        <w:pStyle w:val="ConsPlusCell"/>
        <w:jc w:val="both"/>
      </w:pPr>
      <w:r w:rsidRPr="00A2146F">
        <w:t>│       │объекты  организации  общественного  питания  с   площадью   зала│</w:t>
      </w:r>
    </w:p>
    <w:p w:rsidR="00A2146F" w:rsidRPr="00A2146F" w:rsidRDefault="00A2146F">
      <w:pPr>
        <w:pStyle w:val="ConsPlusCell"/>
        <w:jc w:val="both"/>
      </w:pPr>
      <w:r w:rsidRPr="00A2146F">
        <w:t xml:space="preserve">│       │обслуживания  посетителей  не  более  150  квадратных  метров  </w:t>
      </w:r>
      <w:proofErr w:type="gramStart"/>
      <w:r w:rsidRPr="00A2146F">
        <w:t>по</w:t>
      </w:r>
      <w:proofErr w:type="gramEnd"/>
      <w:r w:rsidRPr="00A2146F">
        <w:t>│</w:t>
      </w:r>
    </w:p>
    <w:p w:rsidR="00A2146F" w:rsidRPr="00A2146F" w:rsidRDefault="00A2146F">
      <w:pPr>
        <w:pStyle w:val="ConsPlusCell"/>
        <w:jc w:val="both"/>
      </w:pPr>
      <w:r w:rsidRPr="00A2146F">
        <w:t>│       │каждому объекту организации общественного питания                │</w:t>
      </w:r>
    </w:p>
    <w:p w:rsidR="00A2146F" w:rsidRPr="00A2146F" w:rsidRDefault="00A2146F">
      <w:pPr>
        <w:pStyle w:val="ConsPlusCell"/>
        <w:jc w:val="both"/>
      </w:pPr>
      <w:r w:rsidRPr="00A2146F">
        <w:lastRenderedPageBreak/>
        <w:t>├───────┼───────────────────────────────────────────────────┬─────────────┤</w:t>
      </w:r>
    </w:p>
    <w:p w:rsidR="00A2146F" w:rsidRPr="00A2146F" w:rsidRDefault="00A2146F">
      <w:pPr>
        <w:pStyle w:val="ConsPlusCell"/>
        <w:shd w:val="clear" w:color="auto" w:fill="F4F3F8"/>
        <w:jc w:val="both"/>
      </w:pPr>
      <w:r w:rsidRPr="00A2146F">
        <w:t xml:space="preserve">    </w:t>
      </w:r>
      <w:proofErr w:type="spellStart"/>
      <w:r w:rsidRPr="00A2146F">
        <w:t>КонсультантПлюс</w:t>
      </w:r>
      <w:proofErr w:type="spellEnd"/>
      <w:r w:rsidRPr="00A2146F">
        <w:t>: примечание.</w:t>
      </w:r>
    </w:p>
    <w:p w:rsidR="00A2146F" w:rsidRPr="00A2146F" w:rsidRDefault="00A2146F">
      <w:pPr>
        <w:pStyle w:val="ConsPlusCell"/>
        <w:shd w:val="clear" w:color="auto" w:fill="F4F3F8"/>
        <w:jc w:val="both"/>
      </w:pPr>
      <w:r w:rsidRPr="00A2146F">
        <w:t xml:space="preserve">    В  официальном  тексте  документа,  видимо,  допущена  опечатка:  </w:t>
      </w:r>
      <w:proofErr w:type="gramStart"/>
      <w:r w:rsidRPr="00A2146F">
        <w:t>перед</w:t>
      </w:r>
      <w:proofErr w:type="gramEnd"/>
    </w:p>
    <w:p w:rsidR="00A2146F" w:rsidRPr="00A2146F" w:rsidRDefault="00A2146F">
      <w:pPr>
        <w:pStyle w:val="ConsPlusCell"/>
        <w:shd w:val="clear" w:color="auto" w:fill="F4F3F8"/>
        <w:jc w:val="both"/>
      </w:pPr>
      <w:r w:rsidRPr="00A2146F">
        <w:t xml:space="preserve">словом "рестораны" слов "питания </w:t>
      </w:r>
      <w:proofErr w:type="gramStart"/>
      <w:r w:rsidRPr="00A2146F">
        <w:t>через</w:t>
      </w:r>
      <w:proofErr w:type="gramEnd"/>
      <w:r w:rsidRPr="00A2146F">
        <w:t>" быть не должно.</w:t>
      </w:r>
    </w:p>
    <w:p w:rsidR="00A2146F" w:rsidRPr="00A2146F" w:rsidRDefault="00A2146F">
      <w:pPr>
        <w:pStyle w:val="ConsPlusCell"/>
        <w:jc w:val="both"/>
      </w:pPr>
      <w:r w:rsidRPr="00A2146F">
        <w:t>│8.1.1. │Оказание услуг общественного питания через  питания│    0,84     │</w:t>
      </w:r>
    </w:p>
    <w:p w:rsidR="00A2146F" w:rsidRPr="00A2146F" w:rsidRDefault="00A2146F">
      <w:pPr>
        <w:pStyle w:val="ConsPlusCell"/>
        <w:jc w:val="both"/>
      </w:pPr>
      <w:r w:rsidRPr="00A2146F">
        <w:t>│       │через рестораны  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│8.1.2. │Оказание услуг общественного  питания  через  бары,│    0,94     │</w:t>
      </w:r>
    </w:p>
    <w:p w:rsidR="00A2146F" w:rsidRPr="00A2146F" w:rsidRDefault="00A2146F">
      <w:pPr>
        <w:pStyle w:val="ConsPlusCell"/>
        <w:jc w:val="both"/>
      </w:pPr>
      <w:r w:rsidRPr="00A2146F">
        <w:t>│       │кафе             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│8.1.3. │Оказание услуг общественного питания через столовые│    0,37     │</w:t>
      </w:r>
    </w:p>
    <w:p w:rsidR="00A2146F" w:rsidRPr="00A2146F" w:rsidRDefault="00A2146F">
      <w:pPr>
        <w:pStyle w:val="ConsPlusCell"/>
        <w:jc w:val="both"/>
      </w:pPr>
      <w:r w:rsidRPr="00A2146F">
        <w:t>│       │без реализации винно-водочных изделий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│8.1.4. │Оказание услуг общественного питания через столовые│    0,75     │</w:t>
      </w:r>
    </w:p>
    <w:p w:rsidR="00A2146F" w:rsidRPr="00A2146F" w:rsidRDefault="00A2146F">
      <w:pPr>
        <w:pStyle w:val="ConsPlusCell"/>
        <w:jc w:val="both"/>
      </w:pPr>
      <w:r w:rsidRPr="00A2146F">
        <w:t>│       │с реализацией винно-водочных изделий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│8.1.5. │Оказание услуг общественного питания через столовые│    0,14     │</w:t>
      </w:r>
    </w:p>
    <w:p w:rsidR="00A2146F" w:rsidRPr="00A2146F" w:rsidRDefault="00A2146F">
      <w:pPr>
        <w:pStyle w:val="ConsPlusCell"/>
        <w:jc w:val="both"/>
      </w:pPr>
      <w:r w:rsidRPr="00A2146F">
        <w:t>│       │при    общеобразовательных    школах,     начальных│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│профессиональных и  средних  специальных  и  высших│             │</w:t>
      </w:r>
    </w:p>
    <w:p w:rsidR="00A2146F" w:rsidRPr="00A2146F" w:rsidRDefault="00A2146F">
      <w:pPr>
        <w:pStyle w:val="ConsPlusCell"/>
        <w:jc w:val="both"/>
      </w:pPr>
      <w:r w:rsidRPr="00A2146F">
        <w:t xml:space="preserve">│       │учебных </w:t>
      </w:r>
      <w:proofErr w:type="gramStart"/>
      <w:r w:rsidRPr="00A2146F">
        <w:t>заведениях</w:t>
      </w:r>
      <w:proofErr w:type="gramEnd"/>
      <w:r w:rsidRPr="00A2146F">
        <w:t xml:space="preserve">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│8.1.6. │Оказание   услуг   общественного   питания    через│    0,78     │</w:t>
      </w:r>
    </w:p>
    <w:p w:rsidR="00A2146F" w:rsidRPr="00A2146F" w:rsidRDefault="00A2146F">
      <w:pPr>
        <w:pStyle w:val="ConsPlusCell"/>
        <w:jc w:val="both"/>
      </w:pPr>
      <w:r w:rsidRPr="00A2146F">
        <w:t>│       │закусочные       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│8.1.7. │Оказание   услуг   общественного   питания    через│    0,02     │</w:t>
      </w:r>
    </w:p>
    <w:p w:rsidR="00A2146F" w:rsidRPr="00A2146F" w:rsidRDefault="00A2146F">
      <w:pPr>
        <w:pStyle w:val="ConsPlusCell"/>
        <w:jc w:val="both"/>
      </w:pPr>
      <w:r w:rsidRPr="00A2146F">
        <w:t xml:space="preserve">│       │солдатские  чайные  и  столовые,  расположенные  </w:t>
      </w:r>
      <w:proofErr w:type="gramStart"/>
      <w:r w:rsidRPr="00A2146F">
        <w:t>на</w:t>
      </w:r>
      <w:proofErr w:type="gramEnd"/>
      <w:r w:rsidRPr="00A2146F">
        <w:t>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│территории воинских частей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│8.1.8. │Оказание   услуг   общественного   питания    через│    0,19     │</w:t>
      </w:r>
    </w:p>
    <w:p w:rsidR="00A2146F" w:rsidRPr="00A2146F" w:rsidRDefault="00A2146F">
      <w:pPr>
        <w:pStyle w:val="ConsPlusCell"/>
        <w:jc w:val="both"/>
      </w:pPr>
      <w:r w:rsidRPr="00A2146F">
        <w:t>│       │столовые, находящиеся непосредственно на территории│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│научно-исследовательских организаций,  промышленных│             │</w:t>
      </w:r>
    </w:p>
    <w:p w:rsidR="00A2146F" w:rsidRPr="00A2146F" w:rsidRDefault="00A2146F">
      <w:pPr>
        <w:pStyle w:val="ConsPlusCell"/>
        <w:jc w:val="both"/>
      </w:pPr>
      <w:r w:rsidRPr="00A2146F">
        <w:t xml:space="preserve">│       │предприятий,   </w:t>
      </w:r>
      <w:proofErr w:type="gramStart"/>
      <w:r w:rsidRPr="00A2146F">
        <w:t>обслуживающие</w:t>
      </w:r>
      <w:proofErr w:type="gramEnd"/>
      <w:r w:rsidRPr="00A2146F">
        <w:t xml:space="preserve">   работников    данных│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│организаций      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│8.1.9. │Оказание услуг общественного  питания  через  кафе,│    0,38     │</w:t>
      </w:r>
    </w:p>
    <w:p w:rsidR="00A2146F" w:rsidRPr="00A2146F" w:rsidRDefault="00A2146F">
      <w:pPr>
        <w:pStyle w:val="ConsPlusCell"/>
        <w:jc w:val="both"/>
      </w:pPr>
      <w:r w:rsidRPr="00A2146F">
        <w:t xml:space="preserve">│       │бары без реализации винно-водочных изделий, в  </w:t>
      </w:r>
      <w:proofErr w:type="spellStart"/>
      <w:r w:rsidRPr="00A2146F">
        <w:t>т.ч</w:t>
      </w:r>
      <w:proofErr w:type="spellEnd"/>
      <w:r w:rsidRPr="00A2146F">
        <w:t>.│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│детские          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│8.2.   │Оказание     услуг      общественного      питания,│    1        │</w:t>
      </w:r>
    </w:p>
    <w:p w:rsidR="00A2146F" w:rsidRPr="00A2146F" w:rsidRDefault="00A2146F">
      <w:pPr>
        <w:pStyle w:val="ConsPlusCell"/>
        <w:jc w:val="both"/>
      </w:pPr>
      <w:r w:rsidRPr="00A2146F">
        <w:t>│       │</w:t>
      </w:r>
      <w:proofErr w:type="gramStart"/>
      <w:r w:rsidRPr="00A2146F">
        <w:t>осуществляемых</w:t>
      </w:r>
      <w:proofErr w:type="gramEnd"/>
      <w:r w:rsidRPr="00A2146F">
        <w:t xml:space="preserve">    через     объекты     организации│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│общественного питания, не имеющие зала обслуживания│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│посетителей (кроме магазинов и отделов кулинарии)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│8.2.1. │Оказание     услуг      общественного      питания,│    0,66     │</w:t>
      </w:r>
    </w:p>
    <w:p w:rsidR="00A2146F" w:rsidRPr="00A2146F" w:rsidRDefault="00A2146F">
      <w:pPr>
        <w:pStyle w:val="ConsPlusCell"/>
        <w:jc w:val="both"/>
      </w:pPr>
      <w:r w:rsidRPr="00A2146F">
        <w:t>│       │</w:t>
      </w:r>
      <w:proofErr w:type="gramStart"/>
      <w:r w:rsidRPr="00A2146F">
        <w:t>осуществляемых</w:t>
      </w:r>
      <w:proofErr w:type="gramEnd"/>
      <w:r w:rsidRPr="00A2146F">
        <w:t xml:space="preserve">    через     объекты     организации│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│общественного  питания  через  магазины  и   отделы│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│кулинарии        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│9.     │Оказание   услуг   по   временному   размещению   и│    0,33     │</w:t>
      </w:r>
    </w:p>
    <w:p w:rsidR="00A2146F" w:rsidRPr="00A2146F" w:rsidRDefault="00A2146F">
      <w:pPr>
        <w:pStyle w:val="ConsPlusCell"/>
        <w:jc w:val="both"/>
      </w:pPr>
      <w:r w:rsidRPr="00A2146F">
        <w:t>│       │проживанию       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│10.    │Оказание услуг по передаче во временное владение  и│             │</w:t>
      </w:r>
    </w:p>
    <w:p w:rsidR="00A2146F" w:rsidRPr="00A2146F" w:rsidRDefault="00A2146F">
      <w:pPr>
        <w:pStyle w:val="ConsPlusCell"/>
        <w:jc w:val="both"/>
      </w:pPr>
      <w:r w:rsidRPr="00A2146F">
        <w:t xml:space="preserve">│       │(или) в пользование торговых мест, расположенных </w:t>
      </w:r>
      <w:proofErr w:type="gramStart"/>
      <w:r w:rsidRPr="00A2146F">
        <w:t>в</w:t>
      </w:r>
      <w:proofErr w:type="gramEnd"/>
      <w:r w:rsidRPr="00A2146F">
        <w:t xml:space="preserve">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│10.1.  │</w:t>
      </w:r>
      <w:proofErr w:type="gramStart"/>
      <w:r w:rsidRPr="00A2146F">
        <w:t>объектах</w:t>
      </w:r>
      <w:proofErr w:type="gramEnd"/>
      <w:r w:rsidRPr="00A2146F">
        <w:t xml:space="preserve"> нестационарной торговой сети по реализации│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│10.1.1.│семян,    рассады,    ягод,     зелени,     грибов,│    0,02     │</w:t>
      </w:r>
    </w:p>
    <w:p w:rsidR="00A2146F" w:rsidRPr="00A2146F" w:rsidRDefault="00A2146F">
      <w:pPr>
        <w:pStyle w:val="ConsPlusCell"/>
        <w:jc w:val="both"/>
      </w:pPr>
      <w:r w:rsidRPr="00A2146F">
        <w:t>│       │</w:t>
      </w:r>
      <w:proofErr w:type="gramStart"/>
      <w:r w:rsidRPr="00A2146F">
        <w:t>сельскохозяйственной</w:t>
      </w:r>
      <w:proofErr w:type="gramEnd"/>
      <w:r w:rsidRPr="00A2146F">
        <w:t xml:space="preserve">   продукция   с   приусадебных│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│участков и хозяйств до 10 кг для  местных  жителей,│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│изделия народных художественных промыслов и ремесел│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│10.1.2.│цветов                                             │    0,13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 xml:space="preserve">│10.1.3.│всех товаров через торговые  прилавки  с  </w:t>
      </w:r>
      <w:proofErr w:type="gramStart"/>
      <w:r w:rsidRPr="00A2146F">
        <w:t>модульной</w:t>
      </w:r>
      <w:proofErr w:type="gramEnd"/>
      <w:r w:rsidRPr="00A2146F">
        <w:t>│    0,44     │</w:t>
      </w:r>
    </w:p>
    <w:p w:rsidR="00A2146F" w:rsidRPr="00A2146F" w:rsidRDefault="00A2146F">
      <w:pPr>
        <w:pStyle w:val="ConsPlusCell"/>
        <w:jc w:val="both"/>
      </w:pPr>
      <w:r w:rsidRPr="00A2146F">
        <w:lastRenderedPageBreak/>
        <w:t>│       │крышей           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│10.1.4.│овощей и фруктов                                   │    0,17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│10.1.5.│остальных товаров, не перечисленных выше           │    0,28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│10.2.  │</w:t>
      </w:r>
      <w:proofErr w:type="gramStart"/>
      <w:r w:rsidRPr="00A2146F">
        <w:t>объектах</w:t>
      </w:r>
      <w:proofErr w:type="gramEnd"/>
      <w:r w:rsidRPr="00A2146F">
        <w:t xml:space="preserve"> стационарной  торговой  сети,  не  имеющих│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│торговых залов               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│10.2.1.│по   реализации   сельскохозяйственной   продукции,│    0,18     │</w:t>
      </w:r>
    </w:p>
    <w:p w:rsidR="00A2146F" w:rsidRPr="00A2146F" w:rsidRDefault="00A2146F">
      <w:pPr>
        <w:pStyle w:val="ConsPlusCell"/>
        <w:jc w:val="both"/>
      </w:pPr>
      <w:r w:rsidRPr="00A2146F">
        <w:t>│       │овощей  и  фруктов,   мяса,   семян   и   саженцев,│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│садово-огородного       инвентаря,        продукции│             │</w:t>
      </w:r>
    </w:p>
    <w:p w:rsidR="00A2146F" w:rsidRPr="00A2146F" w:rsidRDefault="00A2146F">
      <w:pPr>
        <w:pStyle w:val="ConsPlusCell"/>
        <w:jc w:val="both"/>
      </w:pPr>
      <w:proofErr w:type="gramStart"/>
      <w:r w:rsidRPr="00A2146F">
        <w:t>│       │нижегородских  товаропроизводителей  (при   условии│             │</w:t>
      </w:r>
      <w:proofErr w:type="gramEnd"/>
    </w:p>
    <w:p w:rsidR="00A2146F" w:rsidRPr="00A2146F" w:rsidRDefault="00A2146F">
      <w:pPr>
        <w:pStyle w:val="ConsPlusCell"/>
        <w:jc w:val="both"/>
      </w:pPr>
      <w:r w:rsidRPr="00A2146F">
        <w:t>│       │торговли  товаропроизводителем),  изделий  народных│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│художественных промыслов и ремесел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│10.2.2.│остальных товаров, не перечисленных выше           │    0,29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│10.3.  │</w:t>
      </w:r>
      <w:proofErr w:type="gramStart"/>
      <w:r w:rsidRPr="00A2146F">
        <w:t>объектах</w:t>
      </w:r>
      <w:proofErr w:type="gramEnd"/>
      <w:r w:rsidRPr="00A2146F">
        <w:t xml:space="preserve">  организации  общественного  питания,   не│    0,44     │</w:t>
      </w:r>
    </w:p>
    <w:p w:rsidR="00A2146F" w:rsidRPr="00A2146F" w:rsidRDefault="00A2146F">
      <w:pPr>
        <w:pStyle w:val="ConsPlusCell"/>
        <w:jc w:val="both"/>
      </w:pPr>
      <w:proofErr w:type="gramStart"/>
      <w:r w:rsidRPr="00A2146F">
        <w:t>│       │имеющих  залов  обслуживания   посетителей   (кроме│             │</w:t>
      </w:r>
      <w:proofErr w:type="gramEnd"/>
    </w:p>
    <w:p w:rsidR="00A2146F" w:rsidRPr="00A2146F" w:rsidRDefault="00A2146F">
      <w:pPr>
        <w:pStyle w:val="ConsPlusCell"/>
        <w:jc w:val="both"/>
      </w:pPr>
      <w:r w:rsidRPr="00A2146F">
        <w:t>│       │магазинов и отделов кулинарии)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│10.3.1.│</w:t>
      </w:r>
      <w:proofErr w:type="gramStart"/>
      <w:r w:rsidRPr="00A2146F">
        <w:t>объектах</w:t>
      </w:r>
      <w:proofErr w:type="gramEnd"/>
      <w:r w:rsidRPr="00A2146F">
        <w:t xml:space="preserve">  организации   общественного   питания   -│    0,28     │</w:t>
      </w:r>
    </w:p>
    <w:p w:rsidR="00A2146F" w:rsidRPr="00A2146F" w:rsidRDefault="00A2146F">
      <w:pPr>
        <w:pStyle w:val="ConsPlusCell"/>
        <w:jc w:val="both"/>
      </w:pPr>
      <w:r w:rsidRPr="00A2146F">
        <w:t>│       │</w:t>
      </w:r>
      <w:proofErr w:type="gramStart"/>
      <w:r w:rsidRPr="00A2146F">
        <w:t>магазинах</w:t>
      </w:r>
      <w:proofErr w:type="gramEnd"/>
      <w:r w:rsidRPr="00A2146F">
        <w:t xml:space="preserve"> и отделах кулинарии         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│11.    │Оказание услуг по передаче во временное владение  и│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│(или) в пользование земельных участков   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>│11.1.  │для размещения объектов стационарной торговой сети │    0,5      │</w:t>
      </w:r>
    </w:p>
    <w:p w:rsidR="00A2146F" w:rsidRPr="00A2146F" w:rsidRDefault="00A2146F">
      <w:pPr>
        <w:pStyle w:val="ConsPlusCell"/>
        <w:jc w:val="both"/>
      </w:pPr>
      <w:r w:rsidRPr="00A2146F">
        <w:t>├───────┼───────────────────────────────────────────────────┼─────────────┤</w:t>
      </w:r>
    </w:p>
    <w:p w:rsidR="00A2146F" w:rsidRPr="00A2146F" w:rsidRDefault="00A2146F">
      <w:pPr>
        <w:pStyle w:val="ConsPlusCell"/>
        <w:jc w:val="both"/>
      </w:pPr>
      <w:r w:rsidRPr="00A2146F">
        <w:t xml:space="preserve">│11.2.  │для  размещения  объектов  </w:t>
      </w:r>
      <w:proofErr w:type="gramStart"/>
      <w:r w:rsidRPr="00A2146F">
        <w:t>нестационарной</w:t>
      </w:r>
      <w:proofErr w:type="gramEnd"/>
      <w:r w:rsidRPr="00A2146F">
        <w:t xml:space="preserve">  торговой│    1        │</w:t>
      </w:r>
    </w:p>
    <w:p w:rsidR="00A2146F" w:rsidRPr="00A2146F" w:rsidRDefault="00A2146F">
      <w:pPr>
        <w:pStyle w:val="ConsPlusCell"/>
        <w:jc w:val="both"/>
      </w:pPr>
      <w:r w:rsidRPr="00A2146F">
        <w:t>│       │сети и объектов организации общественного  питания,│             │</w:t>
      </w:r>
    </w:p>
    <w:p w:rsidR="00A2146F" w:rsidRPr="00A2146F" w:rsidRDefault="00A2146F">
      <w:pPr>
        <w:pStyle w:val="ConsPlusCell"/>
        <w:jc w:val="both"/>
      </w:pPr>
      <w:r w:rsidRPr="00A2146F">
        <w:t>│       │не имеющих залов обслуживания посетителей          │             │</w:t>
      </w:r>
    </w:p>
    <w:p w:rsidR="00A2146F" w:rsidRPr="00A2146F" w:rsidRDefault="00A2146F">
      <w:pPr>
        <w:pStyle w:val="ConsPlusCell"/>
        <w:jc w:val="both"/>
      </w:pPr>
      <w:r w:rsidRPr="00A2146F">
        <w:t>└───────┴───────────────────────────────────────────────────┴─────────────┘</w:t>
      </w: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right"/>
        <w:outlineLvl w:val="1"/>
      </w:pPr>
      <w:r w:rsidRPr="00A2146F">
        <w:t>Таблица</w:t>
      </w:r>
    </w:p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jc w:val="center"/>
      </w:pPr>
      <w:r w:rsidRPr="00A2146F">
        <w:t>Значения корректирующего коэффициента К</w:t>
      </w:r>
      <w:proofErr w:type="gramStart"/>
      <w:r w:rsidRPr="00A2146F">
        <w:t>2</w:t>
      </w:r>
      <w:proofErr w:type="gramEnd"/>
    </w:p>
    <w:p w:rsidR="00A2146F" w:rsidRPr="00A2146F" w:rsidRDefault="00A2146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20"/>
        <w:gridCol w:w="648"/>
        <w:gridCol w:w="648"/>
        <w:gridCol w:w="648"/>
        <w:gridCol w:w="648"/>
        <w:gridCol w:w="972"/>
        <w:gridCol w:w="648"/>
        <w:gridCol w:w="648"/>
        <w:gridCol w:w="648"/>
        <w:gridCol w:w="864"/>
        <w:gridCol w:w="648"/>
        <w:gridCol w:w="648"/>
        <w:gridCol w:w="648"/>
        <w:gridCol w:w="1080"/>
      </w:tblGrid>
      <w:tr w:rsidR="00A2146F" w:rsidRPr="00A2146F">
        <w:trPr>
          <w:trHeight w:val="240"/>
        </w:trPr>
        <w:tc>
          <w:tcPr>
            <w:tcW w:w="10044" w:type="dxa"/>
            <w:gridSpan w:val="14"/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    Розничная торговля, осуществляемая через объекты </w:t>
            </w:r>
            <w:proofErr w:type="gramStart"/>
            <w:r w:rsidRPr="00A2146F">
              <w:rPr>
                <w:sz w:val="18"/>
              </w:rPr>
              <w:t>стационарной</w:t>
            </w:r>
            <w:proofErr w:type="gramEnd"/>
            <w:r w:rsidRPr="00A2146F">
              <w:rPr>
                <w:sz w:val="18"/>
              </w:rPr>
              <w:t xml:space="preserve">         </w:t>
            </w:r>
          </w:p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                 торговой сети, имеющие торговые залы                     </w:t>
            </w:r>
          </w:p>
        </w:tc>
      </w:tr>
      <w:tr w:rsidR="00A2146F" w:rsidRPr="00A2146F">
        <w:trPr>
          <w:trHeight w:val="240"/>
        </w:trPr>
        <w:tc>
          <w:tcPr>
            <w:tcW w:w="1620" w:type="dxa"/>
            <w:vMerge w:val="restart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Размер    </w:t>
            </w:r>
          </w:p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торговой   </w:t>
            </w:r>
          </w:p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площади кв. м</w:t>
            </w:r>
          </w:p>
        </w:tc>
        <w:tc>
          <w:tcPr>
            <w:tcW w:w="3888" w:type="dxa"/>
            <w:gridSpan w:val="6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      Зона N 1           </w:t>
            </w:r>
          </w:p>
        </w:tc>
        <w:tc>
          <w:tcPr>
            <w:tcW w:w="4536" w:type="dxa"/>
            <w:gridSpan w:val="7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         Зона N 2             </w:t>
            </w:r>
          </w:p>
        </w:tc>
      </w:tr>
      <w:tr w:rsidR="00A2146F" w:rsidRPr="00A2146F">
        <w:tc>
          <w:tcPr>
            <w:tcW w:w="1512" w:type="dxa"/>
            <w:vMerge/>
            <w:tcBorders>
              <w:top w:val="nil"/>
            </w:tcBorders>
          </w:tcPr>
          <w:p w:rsidR="00A2146F" w:rsidRPr="00A2146F" w:rsidRDefault="00A2146F"/>
        </w:tc>
        <w:tc>
          <w:tcPr>
            <w:tcW w:w="3888" w:type="dxa"/>
            <w:gridSpan w:val="6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       Группы            </w:t>
            </w:r>
          </w:p>
        </w:tc>
        <w:tc>
          <w:tcPr>
            <w:tcW w:w="4536" w:type="dxa"/>
            <w:gridSpan w:val="7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          Группы              </w:t>
            </w:r>
          </w:p>
        </w:tc>
      </w:tr>
      <w:tr w:rsidR="00A2146F" w:rsidRPr="00A2146F">
        <w:tc>
          <w:tcPr>
            <w:tcW w:w="1512" w:type="dxa"/>
            <w:vMerge/>
            <w:tcBorders>
              <w:top w:val="nil"/>
            </w:tcBorders>
          </w:tcPr>
          <w:p w:rsidR="00A2146F" w:rsidRPr="00A2146F" w:rsidRDefault="00A2146F"/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1 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2 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3 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4 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5 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6 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1 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2 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3 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4 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5 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6 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7  </w:t>
            </w:r>
          </w:p>
        </w:tc>
      </w:tr>
      <w:tr w:rsidR="00A2146F" w:rsidRPr="00A2146F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до 18   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0,66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0,88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0,55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0,7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1,0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0,99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0,50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0,66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0,44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0,61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0,88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0,77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0,48</w:t>
            </w:r>
          </w:p>
        </w:tc>
      </w:tr>
      <w:tr w:rsidR="00A2146F" w:rsidRPr="00A2146F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от 18 до 40 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0,55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0,77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0,50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0,6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0,99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0,88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0,44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0,55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0,39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0,55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0,77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0,72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0,40</w:t>
            </w:r>
          </w:p>
        </w:tc>
      </w:tr>
      <w:tr w:rsidR="00A2146F" w:rsidRPr="00A2146F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от 40 до 70 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0,50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0,66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0,44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0,55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0,88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0,83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0,39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0,50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0,33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0,50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0,72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0,66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0,36</w:t>
            </w:r>
          </w:p>
        </w:tc>
      </w:tr>
      <w:tr w:rsidR="00A2146F" w:rsidRPr="00A2146F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от 70 до 100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0,44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0,55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0,39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0,5 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0,83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0,77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0,33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0,44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0,28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0,44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0,66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0,61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0,32</w:t>
            </w:r>
          </w:p>
        </w:tc>
      </w:tr>
      <w:tr w:rsidR="00A2146F" w:rsidRPr="00A2146F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от 100 до 150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0,39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0,50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0,33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0,50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0,77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0,72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0,28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0,39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0,22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0,39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0,61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0,55</w:t>
            </w:r>
          </w:p>
        </w:tc>
        <w:tc>
          <w:tcPr>
            <w:tcW w:w="648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0,28</w:t>
            </w:r>
          </w:p>
        </w:tc>
      </w:tr>
      <w:tr w:rsidR="00A2146F" w:rsidRPr="00A2146F">
        <w:trPr>
          <w:trHeight w:val="240"/>
        </w:trPr>
        <w:tc>
          <w:tcPr>
            <w:tcW w:w="1620" w:type="dxa"/>
            <w:vMerge w:val="restart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</w:p>
        </w:tc>
        <w:tc>
          <w:tcPr>
            <w:tcW w:w="8424" w:type="dxa"/>
            <w:gridSpan w:val="13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                        Зона N 3                            </w:t>
            </w:r>
          </w:p>
        </w:tc>
      </w:tr>
      <w:tr w:rsidR="00A2146F" w:rsidRPr="00A2146F">
        <w:tc>
          <w:tcPr>
            <w:tcW w:w="1512" w:type="dxa"/>
            <w:vMerge/>
            <w:tcBorders>
              <w:top w:val="nil"/>
            </w:tcBorders>
          </w:tcPr>
          <w:p w:rsidR="00A2146F" w:rsidRPr="00A2146F" w:rsidRDefault="00A2146F"/>
        </w:tc>
        <w:tc>
          <w:tcPr>
            <w:tcW w:w="8424" w:type="dxa"/>
            <w:gridSpan w:val="13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                         Группы                             </w:t>
            </w:r>
          </w:p>
        </w:tc>
      </w:tr>
      <w:tr w:rsidR="00A2146F" w:rsidRPr="00A2146F">
        <w:tc>
          <w:tcPr>
            <w:tcW w:w="1512" w:type="dxa"/>
            <w:vMerge/>
            <w:tcBorders>
              <w:top w:val="nil"/>
            </w:tcBorders>
          </w:tcPr>
          <w:p w:rsidR="00A2146F" w:rsidRPr="00A2146F" w:rsidRDefault="00A2146F"/>
        </w:tc>
        <w:tc>
          <w:tcPr>
            <w:tcW w:w="1620" w:type="dxa"/>
            <w:gridSpan w:val="3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 1     </w:t>
            </w:r>
          </w:p>
        </w:tc>
        <w:tc>
          <w:tcPr>
            <w:tcW w:w="1620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 2      </w:t>
            </w:r>
          </w:p>
        </w:tc>
        <w:tc>
          <w:tcPr>
            <w:tcW w:w="972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3   </w:t>
            </w:r>
          </w:p>
        </w:tc>
        <w:tc>
          <w:tcPr>
            <w:tcW w:w="1512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 4     </w:t>
            </w:r>
          </w:p>
        </w:tc>
        <w:tc>
          <w:tcPr>
            <w:tcW w:w="1620" w:type="dxa"/>
            <w:gridSpan w:val="3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 5     </w:t>
            </w:r>
          </w:p>
        </w:tc>
        <w:tc>
          <w:tcPr>
            <w:tcW w:w="1080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6    </w:t>
            </w:r>
          </w:p>
        </w:tc>
      </w:tr>
      <w:tr w:rsidR="00A2146F" w:rsidRPr="00A2146F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до 18    </w:t>
            </w:r>
          </w:p>
        </w:tc>
        <w:tc>
          <w:tcPr>
            <w:tcW w:w="1620" w:type="dxa"/>
            <w:gridSpan w:val="3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0,55    </w:t>
            </w:r>
          </w:p>
        </w:tc>
        <w:tc>
          <w:tcPr>
            <w:tcW w:w="1620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0,77    </w:t>
            </w:r>
          </w:p>
        </w:tc>
        <w:tc>
          <w:tcPr>
            <w:tcW w:w="972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0,50 </w:t>
            </w:r>
          </w:p>
        </w:tc>
        <w:tc>
          <w:tcPr>
            <w:tcW w:w="1512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0,66    </w:t>
            </w:r>
          </w:p>
        </w:tc>
        <w:tc>
          <w:tcPr>
            <w:tcW w:w="1620" w:type="dxa"/>
            <w:gridSpan w:val="3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0,99    </w:t>
            </w:r>
          </w:p>
        </w:tc>
        <w:tc>
          <w:tcPr>
            <w:tcW w:w="1080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0,88  </w:t>
            </w:r>
          </w:p>
        </w:tc>
      </w:tr>
      <w:tr w:rsidR="00A2146F" w:rsidRPr="00A2146F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от 18 до 40  </w:t>
            </w:r>
          </w:p>
        </w:tc>
        <w:tc>
          <w:tcPr>
            <w:tcW w:w="1620" w:type="dxa"/>
            <w:gridSpan w:val="3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0,50    </w:t>
            </w:r>
          </w:p>
        </w:tc>
        <w:tc>
          <w:tcPr>
            <w:tcW w:w="1620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0,66    </w:t>
            </w:r>
          </w:p>
        </w:tc>
        <w:tc>
          <w:tcPr>
            <w:tcW w:w="972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0,44 </w:t>
            </w:r>
          </w:p>
        </w:tc>
        <w:tc>
          <w:tcPr>
            <w:tcW w:w="1512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0,61    </w:t>
            </w:r>
          </w:p>
        </w:tc>
        <w:tc>
          <w:tcPr>
            <w:tcW w:w="1620" w:type="dxa"/>
            <w:gridSpan w:val="3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0,88    </w:t>
            </w:r>
          </w:p>
        </w:tc>
        <w:tc>
          <w:tcPr>
            <w:tcW w:w="1080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0,83  </w:t>
            </w:r>
          </w:p>
        </w:tc>
      </w:tr>
      <w:tr w:rsidR="00A2146F" w:rsidRPr="00A2146F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lastRenderedPageBreak/>
              <w:t xml:space="preserve">от 40 до 70  </w:t>
            </w:r>
          </w:p>
        </w:tc>
        <w:tc>
          <w:tcPr>
            <w:tcW w:w="1620" w:type="dxa"/>
            <w:gridSpan w:val="3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0,44    </w:t>
            </w:r>
          </w:p>
        </w:tc>
        <w:tc>
          <w:tcPr>
            <w:tcW w:w="1620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0,55    </w:t>
            </w:r>
          </w:p>
        </w:tc>
        <w:tc>
          <w:tcPr>
            <w:tcW w:w="972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0,39 </w:t>
            </w:r>
          </w:p>
        </w:tc>
        <w:tc>
          <w:tcPr>
            <w:tcW w:w="1512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0,55    </w:t>
            </w:r>
          </w:p>
        </w:tc>
        <w:tc>
          <w:tcPr>
            <w:tcW w:w="1620" w:type="dxa"/>
            <w:gridSpan w:val="3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0,77    </w:t>
            </w:r>
          </w:p>
        </w:tc>
        <w:tc>
          <w:tcPr>
            <w:tcW w:w="1080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0,77  </w:t>
            </w:r>
          </w:p>
        </w:tc>
      </w:tr>
      <w:tr w:rsidR="00A2146F" w:rsidRPr="00A2146F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от 70 до 100 </w:t>
            </w:r>
          </w:p>
        </w:tc>
        <w:tc>
          <w:tcPr>
            <w:tcW w:w="1620" w:type="dxa"/>
            <w:gridSpan w:val="3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0,39    </w:t>
            </w:r>
          </w:p>
        </w:tc>
        <w:tc>
          <w:tcPr>
            <w:tcW w:w="1620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0,50    </w:t>
            </w:r>
          </w:p>
        </w:tc>
        <w:tc>
          <w:tcPr>
            <w:tcW w:w="972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0,33 </w:t>
            </w:r>
          </w:p>
        </w:tc>
        <w:tc>
          <w:tcPr>
            <w:tcW w:w="1512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0,50    </w:t>
            </w:r>
          </w:p>
        </w:tc>
        <w:tc>
          <w:tcPr>
            <w:tcW w:w="1620" w:type="dxa"/>
            <w:gridSpan w:val="3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0,72    </w:t>
            </w:r>
          </w:p>
        </w:tc>
        <w:tc>
          <w:tcPr>
            <w:tcW w:w="1080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0,72  </w:t>
            </w:r>
          </w:p>
        </w:tc>
      </w:tr>
      <w:tr w:rsidR="00A2146F" w:rsidRPr="00A2146F">
        <w:trPr>
          <w:trHeight w:val="240"/>
        </w:trPr>
        <w:tc>
          <w:tcPr>
            <w:tcW w:w="1620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>от 100 до 150</w:t>
            </w:r>
          </w:p>
        </w:tc>
        <w:tc>
          <w:tcPr>
            <w:tcW w:w="1620" w:type="dxa"/>
            <w:gridSpan w:val="3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0,33    </w:t>
            </w:r>
          </w:p>
        </w:tc>
        <w:tc>
          <w:tcPr>
            <w:tcW w:w="1620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 0,44    </w:t>
            </w:r>
          </w:p>
        </w:tc>
        <w:tc>
          <w:tcPr>
            <w:tcW w:w="972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0,28 </w:t>
            </w:r>
          </w:p>
        </w:tc>
        <w:tc>
          <w:tcPr>
            <w:tcW w:w="1512" w:type="dxa"/>
            <w:gridSpan w:val="2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0,44    </w:t>
            </w:r>
          </w:p>
        </w:tc>
        <w:tc>
          <w:tcPr>
            <w:tcW w:w="1620" w:type="dxa"/>
            <w:gridSpan w:val="3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 0,66    </w:t>
            </w:r>
          </w:p>
        </w:tc>
        <w:tc>
          <w:tcPr>
            <w:tcW w:w="1080" w:type="dxa"/>
            <w:tcBorders>
              <w:top w:val="nil"/>
            </w:tcBorders>
          </w:tcPr>
          <w:p w:rsidR="00A2146F" w:rsidRPr="00A2146F" w:rsidRDefault="00A2146F">
            <w:pPr>
              <w:pStyle w:val="ConsPlusNonformat"/>
              <w:jc w:val="both"/>
            </w:pPr>
            <w:r w:rsidRPr="00A2146F">
              <w:rPr>
                <w:sz w:val="18"/>
              </w:rPr>
              <w:t xml:space="preserve">  0,66  </w:t>
            </w:r>
          </w:p>
        </w:tc>
      </w:tr>
    </w:tbl>
    <w:p w:rsidR="00A2146F" w:rsidRPr="00A2146F" w:rsidRDefault="00A2146F">
      <w:pPr>
        <w:pStyle w:val="ConsPlusNormal"/>
        <w:jc w:val="both"/>
      </w:pPr>
    </w:p>
    <w:p w:rsidR="00A2146F" w:rsidRPr="00A2146F" w:rsidRDefault="00A2146F">
      <w:pPr>
        <w:pStyle w:val="ConsPlusNormal"/>
        <w:ind w:firstLine="540"/>
        <w:jc w:val="both"/>
      </w:pPr>
      <w:r w:rsidRPr="00A2146F">
        <w:t>Примечание: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1. Для целей настоящего постановления номера групп имеют следующие значения: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1 - торговля продовольственными товарами;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2 - торговля продовольственными товарами, в том числе винно-водочными изделиями;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proofErr w:type="gramStart"/>
      <w:r w:rsidRPr="00A2146F">
        <w:t xml:space="preserve">3 - специализированная торговля (удельный вес одной группы товаров в общем объеме товарооборота не менее 75 процентов): хлебобулочными изделиями, молочной продукцией, детским питанием, овощами отечественного производства, диабетическими товарами, книжной продукцией, газетами и журналами, </w:t>
      </w:r>
      <w:proofErr w:type="spellStart"/>
      <w:r w:rsidRPr="00A2146F">
        <w:t>зоотоварами</w:t>
      </w:r>
      <w:proofErr w:type="spellEnd"/>
      <w:r w:rsidRPr="00A2146F">
        <w:t>, семенами и саженцами, детскими товарами (одежда, головные уборы, обувь, игрушки, коляски);</w:t>
      </w:r>
      <w:proofErr w:type="gramEnd"/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4 - торговля промышленными товарами;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 xml:space="preserve">5 - специализированная торговля (удельный вес одной группы товаров в общем объеме товарооборота не менее 50 процентов): ювелирными изделиями, </w:t>
      </w:r>
      <w:proofErr w:type="spellStart"/>
      <w:r w:rsidRPr="00A2146F">
        <w:t>автотоварами</w:t>
      </w:r>
      <w:proofErr w:type="spellEnd"/>
      <w:r w:rsidRPr="00A2146F">
        <w:t>, катерами, моторами, автомобилями, мебелью, бытовой техникой, бытовыми машинами, строительными материалами, изделиями из натуральной кожи и меха, оружием, сжиженным газом;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6 - торговля лекарственными средствами и медикаментами;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 xml:space="preserve">7 - торговля в поселках: </w:t>
      </w:r>
      <w:proofErr w:type="gramStart"/>
      <w:r w:rsidRPr="00A2146F">
        <w:t xml:space="preserve">Бабино, Колодкино, </w:t>
      </w:r>
      <w:proofErr w:type="spellStart"/>
      <w:r w:rsidRPr="00A2146F">
        <w:t>Игумново</w:t>
      </w:r>
      <w:proofErr w:type="spellEnd"/>
      <w:r w:rsidRPr="00A2146F">
        <w:t xml:space="preserve">, </w:t>
      </w:r>
      <w:proofErr w:type="spellStart"/>
      <w:r w:rsidRPr="00A2146F">
        <w:t>Петряевка</w:t>
      </w:r>
      <w:proofErr w:type="spellEnd"/>
      <w:r w:rsidRPr="00A2146F">
        <w:t xml:space="preserve">, Юрьевец, Дачный, Гавриловка, Ивановка, Горбатовка, Пыра, </w:t>
      </w:r>
      <w:proofErr w:type="spellStart"/>
      <w:r w:rsidRPr="00A2146F">
        <w:t>Ипяково</w:t>
      </w:r>
      <w:proofErr w:type="spellEnd"/>
      <w:r w:rsidRPr="00A2146F">
        <w:t xml:space="preserve">, </w:t>
      </w:r>
      <w:proofErr w:type="spellStart"/>
      <w:r w:rsidRPr="00A2146F">
        <w:t>Гнилицкие</w:t>
      </w:r>
      <w:proofErr w:type="spellEnd"/>
      <w:r w:rsidRPr="00A2146F">
        <w:t xml:space="preserve"> Дворики, Бабушкино, Пушкино, </w:t>
      </w:r>
      <w:proofErr w:type="spellStart"/>
      <w:r w:rsidRPr="00A2146F">
        <w:t>Желнино</w:t>
      </w:r>
      <w:proofErr w:type="spellEnd"/>
      <w:r w:rsidRPr="00A2146F">
        <w:t xml:space="preserve">, Строителей, </w:t>
      </w:r>
      <w:proofErr w:type="spellStart"/>
      <w:r w:rsidRPr="00A2146F">
        <w:t>Пырские</w:t>
      </w:r>
      <w:proofErr w:type="spellEnd"/>
      <w:r w:rsidRPr="00A2146F">
        <w:t xml:space="preserve"> Дворики, Лесная Поляна, Северный, ул. 4-я линия (п. Свердлова).</w:t>
      </w:r>
      <w:proofErr w:type="gramEnd"/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2. Для целей настоящего постановления номера зон означают месторасположение торговых объектов: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 xml:space="preserve">зона N 1 - пр. Ленина (до ул. Черняховского), пр. </w:t>
      </w:r>
      <w:proofErr w:type="gramStart"/>
      <w:r w:rsidRPr="00A2146F">
        <w:t>Циолковского (кроме домов с буквами б, в, г и далее), пл. Дзержинского, ул. Урицкого, ул. Октябрьская (до дома 25 включительно), пл. Привокзальная, ул. Терешковой (до д. 24 включительно), пр.</w:t>
      </w:r>
      <w:proofErr w:type="gramEnd"/>
      <w:r w:rsidRPr="00A2146F">
        <w:t xml:space="preserve"> Победы, д. 1, 2, ул. Гайдара, ул. </w:t>
      </w:r>
      <w:proofErr w:type="spellStart"/>
      <w:r w:rsidRPr="00A2146F">
        <w:t>Удриса</w:t>
      </w:r>
      <w:proofErr w:type="spellEnd"/>
      <w:r w:rsidRPr="00A2146F">
        <w:t xml:space="preserve">, </w:t>
      </w:r>
      <w:proofErr w:type="spellStart"/>
      <w:r w:rsidRPr="00A2146F">
        <w:t>бульв</w:t>
      </w:r>
      <w:proofErr w:type="spellEnd"/>
      <w:r w:rsidRPr="00A2146F">
        <w:t xml:space="preserve">. </w:t>
      </w:r>
      <w:proofErr w:type="gramStart"/>
      <w:r w:rsidRPr="00A2146F">
        <w:t>Космонавтов, ул. Свердлова (от пр.</w:t>
      </w:r>
      <w:proofErr w:type="gramEnd"/>
      <w:r w:rsidRPr="00A2146F">
        <w:t xml:space="preserve"> </w:t>
      </w:r>
      <w:proofErr w:type="gramStart"/>
      <w:r w:rsidRPr="00A2146F">
        <w:t xml:space="preserve">Циолковского до ул. </w:t>
      </w:r>
      <w:proofErr w:type="spellStart"/>
      <w:r w:rsidRPr="00A2146F">
        <w:t>Патоличева</w:t>
      </w:r>
      <w:proofErr w:type="spellEnd"/>
      <w:r w:rsidRPr="00A2146F">
        <w:t>), Московское шоссе (кроме зон поселков), территории городских рынков и торговых площадок;</w:t>
      </w:r>
      <w:proofErr w:type="gramEnd"/>
    </w:p>
    <w:p w:rsidR="00A2146F" w:rsidRPr="00A2146F" w:rsidRDefault="00A2146F">
      <w:pPr>
        <w:pStyle w:val="ConsPlusNormal"/>
        <w:spacing w:before="220"/>
        <w:ind w:firstLine="540"/>
        <w:jc w:val="both"/>
      </w:pPr>
      <w:proofErr w:type="gramStart"/>
      <w:r w:rsidRPr="00A2146F">
        <w:t xml:space="preserve">зона N 2 - ул. </w:t>
      </w:r>
      <w:proofErr w:type="spellStart"/>
      <w:r w:rsidRPr="00A2146F">
        <w:t>Новомосковская</w:t>
      </w:r>
      <w:proofErr w:type="spellEnd"/>
      <w:r w:rsidRPr="00A2146F">
        <w:t xml:space="preserve">, ул. Водозаборная, ул. Марковникова, ул. Пожарского, набережная Окская, ул. </w:t>
      </w:r>
      <w:proofErr w:type="spellStart"/>
      <w:r w:rsidRPr="00A2146F">
        <w:t>Патоличева</w:t>
      </w:r>
      <w:proofErr w:type="spellEnd"/>
      <w:r w:rsidRPr="00A2146F">
        <w:t xml:space="preserve">, ул. Советская, ул. </w:t>
      </w:r>
      <w:proofErr w:type="spellStart"/>
      <w:r w:rsidRPr="00A2146F">
        <w:t>Самохвалова</w:t>
      </w:r>
      <w:proofErr w:type="spellEnd"/>
      <w:r w:rsidRPr="00A2146F">
        <w:t>, ул. Бутлерова, д. 40; территории промышленной зоны Восточного куста;</w:t>
      </w:r>
      <w:proofErr w:type="gramEnd"/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зона N 3 - для всех остальных помещений, не указанных в зонах N 1, 2.</w:t>
      </w:r>
    </w:p>
    <w:p w:rsidR="00A2146F" w:rsidRPr="00A2146F" w:rsidRDefault="00A2146F">
      <w:pPr>
        <w:pStyle w:val="ConsPlusNormal"/>
        <w:spacing w:before="220"/>
        <w:ind w:firstLine="540"/>
        <w:jc w:val="both"/>
      </w:pPr>
      <w:r w:rsidRPr="00A2146F">
        <w:t>3. Коэффициент К</w:t>
      </w:r>
      <w:proofErr w:type="gramStart"/>
      <w:r w:rsidRPr="00A2146F">
        <w:t>2</w:t>
      </w:r>
      <w:proofErr w:type="gramEnd"/>
      <w:r w:rsidRPr="00A2146F">
        <w:t>, определенный в соответствии с таблицей "Значения корректирующего коэффициента К2", уменьшается для юридических лиц и индивидуальных предпринимателей: заключивших договора социально-экономического партнерства с администрацией города Дзержинска в соответствии с положением, утвержденным администрацией города, - на 15%; выплачивающих среднюю заработную плату по предприятию не менее 12,5 тыс. руб. в месяц по итогам отчетного квартала, - на 10%.</w:t>
      </w:r>
    </w:p>
    <w:p w:rsidR="00A2146F" w:rsidRPr="00A2146F" w:rsidRDefault="00A2146F">
      <w:pPr>
        <w:pStyle w:val="ConsPlusNormal"/>
        <w:jc w:val="both"/>
      </w:pPr>
    </w:p>
    <w:p w:rsidR="00A2146F" w:rsidRDefault="00A2146F">
      <w:pPr>
        <w:pStyle w:val="ConsPlusNormal"/>
        <w:jc w:val="both"/>
      </w:pPr>
    </w:p>
    <w:p w:rsidR="00A2146F" w:rsidRDefault="00A214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A2146F"/>
    <w:sectPr w:rsidR="00E271CC" w:rsidSect="00316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6F"/>
    <w:rsid w:val="00303A72"/>
    <w:rsid w:val="00407DE8"/>
    <w:rsid w:val="00455A51"/>
    <w:rsid w:val="00A2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46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146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146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2146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2146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46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146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2146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2146F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2146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6BA9B29754ADF043B5E8F2A733DE8AE6155F22818D9930BC0A002D178F048685F12A42F5B54FF0A9FEDD85A0832B8090324037886E22FF333C7150D3I" TargetMode="External"/><Relationship Id="rId13" Type="http://schemas.openxmlformats.org/officeDocument/2006/relationships/hyperlink" Target="consultantplus://offline/ref=E96BA9B29754ADF043B5E8F2A733DE8AE6155F22818D9930BC0A002D178F048685F12A42F5B54FF0A9FEDD89A0832B8090324037886E22FF333C7150D3I" TargetMode="External"/><Relationship Id="rId18" Type="http://schemas.openxmlformats.org/officeDocument/2006/relationships/hyperlink" Target="consultantplus://offline/ref=E96BA9B29754ADF043B5E8F2A733DE8AE6155F22818D9930BC0A002D178F048685F12A42F5B54FF0A9FEDD86A0832B8090324037886E22FF333C7150D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6BA9B29754ADF043B5E8F2A733DE8AE6155F22818D9930BC0A002D178F048685F12A42F5B54FF0A9FEDE85A0832B8090324037886E22FF333C7150D3I" TargetMode="External"/><Relationship Id="rId7" Type="http://schemas.openxmlformats.org/officeDocument/2006/relationships/hyperlink" Target="consultantplus://offline/ref=E96BA9B29754ADF043B5E8F2A733DE8AE6155F22818D9832BA0A002D178F048685F12A42F5B54FF0A9FEDD85A0832B8090324037886E22FF333C7150D3I" TargetMode="External"/><Relationship Id="rId12" Type="http://schemas.openxmlformats.org/officeDocument/2006/relationships/hyperlink" Target="consultantplus://offline/ref=E96BA9B29754ADF043B5E8F2A733DE8AE6155F22818D9930BC0A002D178F048685F12A42F5B54FF0A9FEDD87A0832B8090324037886E22FF333C7150D3I" TargetMode="External"/><Relationship Id="rId17" Type="http://schemas.openxmlformats.org/officeDocument/2006/relationships/hyperlink" Target="consultantplus://offline/ref=E96BA9B29754ADF043B5E8F2A733DE8AE6155F22818D9930BC0A002D178F048685F12A42F5B54FF0A9FEDC83A0832B8090324037886E22FF333C7150D3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6BA9B29754ADF043B5E8F2A733DE8AE6155F22818D9930BC0A002D178F048685F12A42F5B54FF0A9FEDC83A0832B8090324037886E22FF333C7150D3I" TargetMode="External"/><Relationship Id="rId20" Type="http://schemas.openxmlformats.org/officeDocument/2006/relationships/hyperlink" Target="consultantplus://offline/ref=E96BA9B29754ADF043B5F6FFB15F818FE01B09288C809165E7555B7040860ED1C2BE7300B1B84EF6A0F589D1EF8277C6C2214232886C20E353D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6BA9B29754ADF043B5E8F2A733DE8AE6155F2281829336B30A002D178F048685F12A42F5B54FF0A9FEDD85A0832B8090324037886E22FF333C7150D3I" TargetMode="External"/><Relationship Id="rId11" Type="http://schemas.openxmlformats.org/officeDocument/2006/relationships/hyperlink" Target="consultantplus://offline/ref=E96BA9B29754ADF043B5E8F2A733DE8AE6155F22818D9930BC0A002D178F048685F12A42F5B54FF0A9FEDD86A0832B8090324037886E22FF333C7150D3I" TargetMode="External"/><Relationship Id="rId5" Type="http://schemas.openxmlformats.org/officeDocument/2006/relationships/hyperlink" Target="consultantplus://offline/ref=E96BA9B29754ADF043B5E8F2A733DE8AE6155F2281829E30BF0A002D178F048685F12A42F5B54FF0A9FEDD85A0832B8090324037886E22FF333C7150D3I" TargetMode="External"/><Relationship Id="rId15" Type="http://schemas.openxmlformats.org/officeDocument/2006/relationships/hyperlink" Target="consultantplus://offline/ref=E96BA9B29754ADF043B5F6FFB15F818FE21A032C8F849165E7555B7040860ED1C2BE7300B1BB46F5AAF589D1EF8277C6C2214232886C20E353D1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96BA9B29754ADF043B5F6FFB15F818FE21A032C8F849165E7555B7040860ED1C2BE7300B7B848FBFDAF99D5A6D57DDAC53D5C32966C52D0I" TargetMode="External"/><Relationship Id="rId19" Type="http://schemas.openxmlformats.org/officeDocument/2006/relationships/hyperlink" Target="consultantplus://offline/ref=E96BA9B29754ADF043B5E8F2A733DE8AE6155F22818D9930BC0A002D178F048685F12A42F5B54FF0A9FEDC88A0832B8090324037886E22FF333C7150D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6BA9B29754ADF043B5F6FFB15F818FE019002C8A879165E7555B7040860ED1D0BE2B0CB3BF50F0ABE0DF80A95DD7I" TargetMode="External"/><Relationship Id="rId14" Type="http://schemas.openxmlformats.org/officeDocument/2006/relationships/hyperlink" Target="consultantplus://offline/ref=E96BA9B29754ADF043B5E8F2A733DE8AE6155F22818D9930BC0A002D178F048685F12A42F5B54FF0A9FEDC83A0832B8090324037886E22FF333C7150D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5301</Words>
  <Characters>30217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2020-02-27T08:03:00Z</dcterms:created>
  <dcterms:modified xsi:type="dcterms:W3CDTF">2020-02-27T08:05:00Z</dcterms:modified>
</cp:coreProperties>
</file>